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2.jpeg" ContentType="image/jpeg"/>
  <Override PartName="/word/media/image1.jpeg" ContentType="image/jpe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rPr/>
      </w:pPr>
      <w:r>
        <w:rPr/>
      </w:r>
    </w:p>
    <w:p>
      <w:pPr>
        <w:pStyle w:val="Normal"/>
        <w:rPr/>
      </w:pPr>
      <w:r>
        <w:rPr/>
      </w:r>
    </w:p>
    <w:p>
      <w:pPr>
        <w:pStyle w:val="Normal"/>
        <w:spacing w:lineRule="auto" w:line="360"/>
        <w:jc w:val="center"/>
        <w:rPr>
          <w:rFonts w:cs="Trade Gothic Next LT Pro Lt" w:ascii="Trade Gothic Next LT Pro Lt" w:hAnsi="Trade Gothic Next LT Pro Lt"/>
          <w:b/>
          <w:bCs/>
          <w:sz w:val="36"/>
          <w:szCs w:val="36"/>
          <w:u w:val="single"/>
        </w:rPr>
      </w:pPr>
      <w:r>
        <w:rPr>
          <w:rFonts w:cs="Trade Gothic Next LT Pro Lt" w:ascii="Trade Gothic Next LT Pro Lt" w:hAnsi="Trade Gothic Next LT Pro Lt"/>
          <w:b/>
          <w:bCs/>
          <w:sz w:val="36"/>
          <w:szCs w:val="36"/>
          <w:u w:val="single"/>
        </w:rPr>
        <w:t>PROPOSICIÓN AL PLENO DEL AYUNTAMIENTO DE JEREZ</w:t>
      </w:r>
    </w:p>
    <w:p>
      <w:pPr>
        <w:pStyle w:val="Normal"/>
        <w:spacing w:lineRule="auto" w:line="360"/>
        <w:jc w:val="center"/>
        <w:rPr>
          <w:rFonts w:cs="Trade Gothic Next LT Pro Lt" w:ascii="Trade Gothic Next LT Pro Lt" w:hAnsi="Trade Gothic Next LT Pro Lt"/>
          <w:sz w:val="28"/>
          <w:szCs w:val="28"/>
        </w:rPr>
      </w:pPr>
      <w:r>
        <w:rPr>
          <w:rFonts w:cs="Trade Gothic Next LT Pro Lt" w:ascii="Trade Gothic Next LT Pro Lt" w:hAnsi="Trade Gothic Next LT Pro Lt"/>
          <w:sz w:val="28"/>
          <w:szCs w:val="28"/>
        </w:rPr>
      </w:r>
    </w:p>
    <w:p>
      <w:pPr>
        <w:pStyle w:val="Normal"/>
        <w:spacing w:lineRule="auto" w:line="360"/>
        <w:jc w:val="both"/>
        <w:rPr>
          <w:rFonts w:cs="Trade Gothic Next LT Pro Lt" w:ascii="Trade Gothic Next LT Pro Lt" w:hAnsi="Trade Gothic Next LT Pro Lt"/>
        </w:rPr>
      </w:pPr>
      <w:r>
        <w:rPr>
          <w:rFonts w:cs="Trade Gothic Next LT Pro Lt" w:ascii="Trade Gothic Next LT Pro Lt" w:hAnsi="Trade Gothic Next LT Pro Lt"/>
        </w:rPr>
        <w:t xml:space="preserve">Raúl Ruiz-Berdejo, Portavoz del Grupo Municipal de Izquierda Unida </w:t>
      </w:r>
      <w:bookmarkStart w:id="0" w:name="_GoBack"/>
      <w:bookmarkEnd w:id="0"/>
      <w:r>
        <w:rPr>
          <w:rFonts w:cs="Trade Gothic Next LT Pro Lt" w:ascii="Trade Gothic Next LT Pro Lt" w:hAnsi="Trade Gothic Next LT Pro Lt"/>
        </w:rPr>
        <w:t xml:space="preserve">y Santiago Sánchez Muñoz, Portavoz del Grupo Municipal de Ganemos Jerez, al amparo de lo dispuesto en el Reglamento de Organización, Funcionamiento y Régimen Jurídico de las Entidades Locales, presenta para su aprobación  la presente PROPOSICIÓN basada en la siguiente...  </w:t>
      </w:r>
    </w:p>
    <w:p>
      <w:pPr>
        <w:pStyle w:val="Normal"/>
        <w:rPr>
          <w:rFonts w:cs="Trade Gothic Next LT Pro Lt" w:ascii="Trade Gothic Next LT Pro Lt" w:hAnsi="Trade Gothic Next LT Pro Lt"/>
          <w:sz w:val="28"/>
          <w:szCs w:val="28"/>
        </w:rPr>
      </w:pPr>
      <w:r>
        <w:rPr>
          <w:rFonts w:cs="Trade Gothic Next LT Pro Lt" w:ascii="Trade Gothic Next LT Pro Lt" w:hAnsi="Trade Gothic Next LT Pro Lt"/>
          <w:sz w:val="28"/>
          <w:szCs w:val="28"/>
        </w:rPr>
      </w:r>
    </w:p>
    <w:p>
      <w:pPr>
        <w:pStyle w:val="Normal"/>
        <w:jc w:val="center"/>
        <w:rPr>
          <w:rFonts w:cs="Trade Gothic Next LT Pro Lt" w:ascii="Trade Gothic Next LT Pro Lt" w:hAnsi="Trade Gothic Next LT Pro Lt"/>
          <w:b/>
          <w:bCs/>
          <w:sz w:val="28"/>
          <w:szCs w:val="28"/>
        </w:rPr>
      </w:pPr>
      <w:r>
        <w:rPr>
          <w:rFonts w:cs="Trade Gothic Next LT Pro Lt" w:ascii="Trade Gothic Next LT Pro Lt" w:hAnsi="Trade Gothic Next LT Pro Lt"/>
          <w:b/>
          <w:bCs/>
          <w:sz w:val="28"/>
          <w:szCs w:val="28"/>
        </w:rPr>
      </w:r>
    </w:p>
    <w:p>
      <w:pPr>
        <w:pStyle w:val="Normal"/>
        <w:jc w:val="center"/>
        <w:rPr>
          <w:rFonts w:cs="Trade Gothic Next LT Pro Lt" w:ascii="Trade Gothic Next LT Pro Lt" w:hAnsi="Trade Gothic Next LT Pro Lt"/>
          <w:b/>
          <w:bCs/>
          <w:sz w:val="28"/>
          <w:szCs w:val="28"/>
        </w:rPr>
      </w:pPr>
      <w:r>
        <w:rPr>
          <w:rFonts w:cs="Trade Gothic Next LT Pro Lt" w:ascii="Trade Gothic Next LT Pro Lt" w:hAnsi="Trade Gothic Next LT Pro Lt"/>
          <w:b/>
          <w:bCs/>
          <w:sz w:val="28"/>
          <w:szCs w:val="28"/>
        </w:rPr>
        <w:t>EXPOSICIÓN DE MOTIVOS</w:t>
      </w:r>
    </w:p>
    <w:p>
      <w:pPr>
        <w:pStyle w:val="Normal"/>
        <w:jc w:val="both"/>
        <w:rPr>
          <w:rFonts w:cs="Trade Gothic Next LT Pro Lt" w:ascii="Trade Gothic Next LT Pro Lt" w:hAnsi="Trade Gothic Next LT Pro Lt"/>
          <w:sz w:val="28"/>
          <w:szCs w:val="28"/>
        </w:rPr>
      </w:pPr>
      <w:r>
        <w:rPr>
          <w:rFonts w:cs="Trade Gothic Next LT Pro Lt" w:ascii="Trade Gothic Next LT Pro Lt" w:hAnsi="Trade Gothic Next LT Pro Lt"/>
          <w:sz w:val="28"/>
          <w:szCs w:val="28"/>
        </w:rPr>
      </w:r>
    </w:p>
    <w:p>
      <w:pPr>
        <w:pStyle w:val="Normal"/>
        <w:jc w:val="both"/>
        <w:rPr>
          <w:rFonts w:cs="Trade Gothic Next LT Pro Lt" w:ascii="Trade Gothic Next LT Pro Lt" w:hAnsi="Trade Gothic Next LT Pro Lt"/>
          <w:sz w:val="28"/>
          <w:szCs w:val="28"/>
        </w:rPr>
      </w:pPr>
      <w:r>
        <w:rPr>
          <w:rFonts w:cs="Trade Gothic Next LT Pro Lt" w:ascii="Trade Gothic Next LT Pro Lt" w:hAnsi="Trade Gothic Next LT Pro Lt"/>
          <w:sz w:val="28"/>
          <w:szCs w:val="28"/>
        </w:rPr>
      </w:r>
    </w:p>
    <w:p>
      <w:pPr>
        <w:pStyle w:val="Normal"/>
        <w:jc w:val="both"/>
        <w:rPr>
          <w:rFonts w:cs="Trade Gothic Next LT Pro Lt" w:ascii="Trade Gothic Next LT Pro Lt" w:hAnsi="Trade Gothic Next LT Pro Lt"/>
        </w:rPr>
      </w:pPr>
      <w:r>
        <w:rPr>
          <w:rFonts w:cs="Trade Gothic Next LT Pro Lt" w:ascii="Trade Gothic Next LT Pro Lt" w:hAnsi="Trade Gothic Next LT Pro Lt"/>
        </w:rPr>
        <w:t>El pasado mes de octubre fue firmado El CETA (Acuerdo Integral de Economía y Comercio) que ha sido ratificado en el mes de febrero por el Parlamento Europeo. Es un acuerdo entre la Unión Europea y Canadá, negociado con enorme secretismo.</w:t>
      </w:r>
    </w:p>
    <w:p>
      <w:pPr>
        <w:pStyle w:val="Normal"/>
        <w:jc w:val="both"/>
        <w:rPr>
          <w:rFonts w:cs="Trade Gothic Next LT Pro Lt" w:ascii="Trade Gothic Next LT Pro Lt" w:hAnsi="Trade Gothic Next LT Pro Lt"/>
        </w:rPr>
      </w:pPr>
      <w:r>
        <w:rPr>
          <w:rFonts w:cs="Trade Gothic Next LT Pro Lt" w:ascii="Trade Gothic Next LT Pro Lt" w:hAnsi="Trade Gothic Next LT Pro Lt"/>
        </w:rPr>
      </w:r>
    </w:p>
    <w:p>
      <w:pPr>
        <w:pStyle w:val="Normal"/>
        <w:jc w:val="both"/>
        <w:rPr>
          <w:rFonts w:cs="Trade Gothic Next LT Pro Lt" w:ascii="Trade Gothic Next LT Pro Lt" w:hAnsi="Trade Gothic Next LT Pro Lt"/>
        </w:rPr>
      </w:pPr>
      <w:r>
        <w:rPr>
          <w:rFonts w:cs="Trade Gothic Next LT Pro Lt" w:ascii="Trade Gothic Next LT Pro Lt" w:hAnsi="Trade Gothic Next LT Pro Lt"/>
        </w:rPr>
        <w:t xml:space="preserve">El CETA se disfraza de un acuerdo tarifario para eliminar aranceles, que ya son mínimos entre Canadá y los estados de la UE. Sin embargo, el acuerdo va mucho más allá y supone una reconfiguración de todo un conjunto de normas de tipo social, jurídico, laboral y medioambiental que regulan la actividad empresarial. El verdadero objetivo es facilitar el enriquecimiento privado de las empresas con sede en la Unión Europea y en Canadá (donde hay 41.000 empresas estadounidenses registradas), y para ello se modifican y relajan todos los tipos de regulación que, para mejorar la calidad de vida de la mayoría, pone límites a la libre actuación de la empresa. De esta forma, se abren las puertas a la reducción de derechos laborales y estándares sanitarios, o el aumento de la capacidad de contaminar, entre otras cuestiones que hoy los estados regulan y que corren el riesgo de desaparecer. </w:t>
      </w:r>
    </w:p>
    <w:p>
      <w:pPr>
        <w:pStyle w:val="Normal"/>
        <w:jc w:val="both"/>
        <w:rPr>
          <w:rFonts w:cs="Trade Gothic Next LT Pro Lt" w:ascii="Trade Gothic Next LT Pro Lt" w:hAnsi="Trade Gothic Next LT Pro Lt"/>
        </w:rPr>
      </w:pPr>
      <w:r>
        <w:rPr>
          <w:rFonts w:cs="Trade Gothic Next LT Pro Lt" w:ascii="Trade Gothic Next LT Pro Lt" w:hAnsi="Trade Gothic Next LT Pro Lt"/>
        </w:rPr>
      </w:r>
    </w:p>
    <w:p>
      <w:pPr>
        <w:pStyle w:val="Normal"/>
        <w:jc w:val="both"/>
        <w:rPr>
          <w:rFonts w:cs="Trade Gothic Next LT Pro Lt" w:ascii="Trade Gothic Next LT Pro Lt" w:hAnsi="Trade Gothic Next LT Pro Lt"/>
        </w:rPr>
      </w:pPr>
      <w:r>
        <w:rPr>
          <w:rFonts w:cs="Trade Gothic Next LT Pro Lt" w:ascii="Trade Gothic Next LT Pro Lt" w:hAnsi="Trade Gothic Next LT Pro Lt"/>
        </w:rPr>
        <w:t>El CETA incluye los llamados tribunales de arbitraje, en los que las multinacionales podrán denunciar a los estados por hipotéticas perdidas económicas si se aprueban normas democráticas, lo que supone todo un chantaje a la democracia y su subordinación al interés económico. Además incluye la Cláusula Rachet, presente en otros acuerdos de la UE, que impide que servicios que hayan sido privatizados vuelvan a estar bajo control público. Tras ser aprobado el quince de febrero de 2017 por parte del Parlamento Europeo con 408 votos a favor, 254 en contra y 33 abstenciones, el CETA será aplicado de manera provisional hasta que lo ratifiquen el conjunto de los parlamentos estatales de la Unión Europea. Es la primera vez que las instituciones europeas recurren a este tipo de aplicación provisional, lo que llama la atención tras las dificultades para su firma por parte de la representación belga.</w:t>
      </w:r>
    </w:p>
    <w:p>
      <w:pPr>
        <w:pStyle w:val="Normal"/>
        <w:jc w:val="both"/>
        <w:rPr>
          <w:rFonts w:cs="Trade Gothic Next LT Pro Lt" w:ascii="Trade Gothic Next LT Pro Lt" w:hAnsi="Trade Gothic Next LT Pro Lt"/>
        </w:rPr>
      </w:pPr>
      <w:r>
        <w:rPr>
          <w:rFonts w:cs="Trade Gothic Next LT Pro Lt" w:ascii="Trade Gothic Next LT Pro Lt" w:hAnsi="Trade Gothic Next LT Pro Lt"/>
        </w:rPr>
      </w:r>
    </w:p>
    <w:p>
      <w:pPr>
        <w:pStyle w:val="Normal"/>
        <w:jc w:val="both"/>
        <w:rPr>
          <w:rFonts w:cs="Trade Gothic Next LT Pro Lt" w:ascii="Trade Gothic Next LT Pro Lt" w:hAnsi="Trade Gothic Next LT Pro Lt"/>
        </w:rPr>
      </w:pPr>
      <w:r>
        <w:rPr>
          <w:rFonts w:cs="Trade Gothic Next LT Pro Lt" w:ascii="Trade Gothic Next LT Pro Lt" w:hAnsi="Trade Gothic Next LT Pro Lt"/>
        </w:rPr>
        <w:t>El proceso de negociación se ha realizado a espaldas de Parlamento Europeo y por supuesto de la ciudadanía entre los años 2006 y 2014.</w:t>
      </w:r>
    </w:p>
    <w:p>
      <w:pPr>
        <w:pStyle w:val="Normal"/>
        <w:jc w:val="both"/>
        <w:rPr>
          <w:rFonts w:cs="Trade Gothic Next LT Pro Lt" w:ascii="Trade Gothic Next LT Pro Lt" w:hAnsi="Trade Gothic Next LT Pro Lt"/>
        </w:rPr>
      </w:pPr>
      <w:r>
        <w:rPr>
          <w:rFonts w:cs="Trade Gothic Next LT Pro Lt" w:ascii="Trade Gothic Next LT Pro Lt" w:hAnsi="Trade Gothic Next LT Pro Lt"/>
        </w:rPr>
      </w:r>
    </w:p>
    <w:p>
      <w:pPr>
        <w:pStyle w:val="Normal"/>
        <w:jc w:val="both"/>
        <w:rPr>
          <w:rFonts w:cs="Trade Gothic Next LT Pro Lt" w:ascii="Trade Gothic Next LT Pro Lt" w:hAnsi="Trade Gothic Next LT Pro Lt"/>
        </w:rPr>
      </w:pPr>
      <w:r>
        <w:rPr>
          <w:rFonts w:cs="Trade Gothic Next LT Pro Lt" w:ascii="Trade Gothic Next LT Pro Lt" w:hAnsi="Trade Gothic Next LT Pro Lt"/>
        </w:rPr>
        <w:t>El Acuerdo, entre otras cuestiones  establece la creación de un Foro de Cooperación en Materia de Regulación. Este será un órgano que garantizará que el Gobierno canadiense y representantes de las empresas tengan acceso a los textos legislativos promovidos por la Comisión antes de que estos lleguen al Parlamento Europeo o trasciendan a la opinión pública, aumentando de este modo su capacidad de influir en ellos para adaptarlos a sus intereses.</w:t>
      </w:r>
    </w:p>
    <w:p>
      <w:pPr>
        <w:pStyle w:val="Normal"/>
        <w:jc w:val="both"/>
        <w:rPr>
          <w:rFonts w:cs="Trade Gothic Next LT Pro Lt" w:ascii="Trade Gothic Next LT Pro Lt" w:hAnsi="Trade Gothic Next LT Pro Lt"/>
        </w:rPr>
      </w:pPr>
      <w:r>
        <w:rPr>
          <w:rFonts w:cs="Trade Gothic Next LT Pro Lt" w:ascii="Trade Gothic Next LT Pro Lt" w:hAnsi="Trade Gothic Next LT Pro Lt"/>
        </w:rPr>
      </w:r>
    </w:p>
    <w:p>
      <w:pPr>
        <w:pStyle w:val="Normal"/>
        <w:jc w:val="both"/>
        <w:rPr>
          <w:rFonts w:cs="Trade Gothic Next LT Pro Lt" w:ascii="Trade Gothic Next LT Pro Lt" w:hAnsi="Trade Gothic Next LT Pro Lt"/>
        </w:rPr>
      </w:pPr>
      <w:r>
        <w:rPr>
          <w:rFonts w:cs="Trade Gothic Next LT Pro Lt" w:ascii="Trade Gothic Next LT Pro Lt" w:hAnsi="Trade Gothic Next LT Pro Lt"/>
        </w:rPr>
        <w:t>Especialmente preocupante son los tribunales de arbitraje que constituyen un mecanismo que pueden utilizar las empresas privadas cuando consideren que se ha vulnerado su capacidad de obtener mayores beneficios económicos, ya que establecen un sistema de justicia paralelo para las grandes empresas y, sobre todo, la creación de un supuesto derecho de éstas al enriquecimiento ilimitado.</w:t>
      </w:r>
    </w:p>
    <w:p>
      <w:pPr>
        <w:pStyle w:val="Normal"/>
        <w:jc w:val="both"/>
        <w:rPr>
          <w:rFonts w:cs="Trade Gothic Next LT Pro Lt" w:ascii="Trade Gothic Next LT Pro Lt" w:hAnsi="Trade Gothic Next LT Pro Lt"/>
        </w:rPr>
      </w:pPr>
      <w:r>
        <w:rPr>
          <w:rFonts w:cs="Trade Gothic Next LT Pro Lt" w:ascii="Trade Gothic Next LT Pro Lt" w:hAnsi="Trade Gothic Next LT Pro Lt"/>
        </w:rPr>
      </w:r>
    </w:p>
    <w:p>
      <w:pPr>
        <w:pStyle w:val="Normal"/>
        <w:jc w:val="both"/>
        <w:rPr>
          <w:rFonts w:cs="Trade Gothic Next LT Pro Lt" w:ascii="Trade Gothic Next LT Pro Lt" w:hAnsi="Trade Gothic Next LT Pro Lt"/>
        </w:rPr>
      </w:pPr>
      <w:r>
        <w:rPr>
          <w:rFonts w:cs="Trade Gothic Next LT Pro Lt" w:ascii="Trade Gothic Next LT Pro Lt" w:hAnsi="Trade Gothic Next LT Pro Lt"/>
        </w:rPr>
        <w:t>El CETA también supone un gran ataque a los derechos medioambientales y  laborales de los Estados miembros, así como a la gestión de los servicios públicos.</w:t>
      </w:r>
    </w:p>
    <w:p>
      <w:pPr>
        <w:pStyle w:val="Normal"/>
        <w:jc w:val="both"/>
        <w:rPr>
          <w:rFonts w:cs="Trade Gothic Next LT Pro Lt" w:ascii="Trade Gothic Next LT Pro Lt" w:hAnsi="Trade Gothic Next LT Pro Lt"/>
        </w:rPr>
      </w:pPr>
      <w:r>
        <w:rPr>
          <w:rFonts w:cs="Trade Gothic Next LT Pro Lt" w:ascii="Trade Gothic Next LT Pro Lt" w:hAnsi="Trade Gothic Next LT Pro Lt"/>
        </w:rPr>
      </w:r>
    </w:p>
    <w:p>
      <w:pPr>
        <w:pStyle w:val="Normal"/>
        <w:jc w:val="both"/>
        <w:rPr>
          <w:rFonts w:cs="Trade Gothic Next LT Pro Lt" w:ascii="Trade Gothic Next LT Pro Lt" w:hAnsi="Trade Gothic Next LT Pro Lt"/>
        </w:rPr>
      </w:pPr>
      <w:r>
        <w:rPr>
          <w:rFonts w:cs="Trade Gothic Next LT Pro Lt" w:ascii="Trade Gothic Next LT Pro Lt" w:hAnsi="Trade Gothic Next LT Pro Lt"/>
        </w:rPr>
        <w:t>El tratado ya ha entrado automáticamente en vigor tras el voto del 15 de febrero de 2017. Legalmente, debe ser ratificado por cada uno de los Estados miembro en sus propios parlamentos, salvo el Reino Unido y Malta, donde sólo debe aprobarlo el Gobierno por su propio estatus constitucional. De acuerdo a su legislación interna, cada Estado puede trasladarlo a otras instituciones, como parlamentos regionales, o celebrar un referéndum. Este proceso podría alargarse por tanto hasta dos años. Por tanto, en realidad la aplicación provisional se utiliza meramente como como un nuevo mecanismo de presión, puesto que en este caso no tiene base jurídica en la legislación o el acervo comunitarios, ya que está diseñada para motivos de urgencia como los desastres humanitario. Revertir un tratado una vez empieza a aplicarse es mucho más complicado y puede incluso tener un efecto disuasorio en los parlamentos más proclives a oponerse al CETA. Al final, la aplicación provisional supone una merma democrática, pues la aplicación del acuerdo no se ve condicionada a los procedimientos democráticos requeridos.</w:t>
      </w:r>
    </w:p>
    <w:p>
      <w:pPr>
        <w:pStyle w:val="Normal"/>
        <w:jc w:val="both"/>
        <w:rPr>
          <w:rFonts w:cs="Trade Gothic Next LT Pro Lt" w:ascii="Trade Gothic Next LT Pro Lt" w:hAnsi="Trade Gothic Next LT Pro Lt"/>
        </w:rPr>
      </w:pPr>
      <w:r>
        <w:rPr>
          <w:rFonts w:cs="Trade Gothic Next LT Pro Lt" w:ascii="Trade Gothic Next LT Pro Lt" w:hAnsi="Trade Gothic Next LT Pro Lt"/>
        </w:rPr>
      </w:r>
    </w:p>
    <w:p>
      <w:pPr>
        <w:pStyle w:val="Normal"/>
        <w:jc w:val="both"/>
        <w:rPr>
          <w:rFonts w:cs="Trade Gothic Next LT Pro Lt" w:ascii="Trade Gothic Next LT Pro Lt" w:hAnsi="Trade Gothic Next LT Pro Lt"/>
        </w:rPr>
      </w:pPr>
      <w:r>
        <w:rPr>
          <w:rFonts w:cs="Trade Gothic Next LT Pro Lt" w:ascii="Trade Gothic Next LT Pro Lt" w:hAnsi="Trade Gothic Next LT Pro Lt"/>
        </w:rPr>
        <w:t>En cuanto a la repercusión para Jerez y la provincia de Cádiz de la entrada en vigor del CETA, hemos de decir que será una de las zonas europeas más afectadas por este tratado, ya que daña especialmente a la producción agrícola y ganadera, y amenaza a la Denominación de Origen del Jerez, la cual no se encuentra incluida entre las poco más de 100 denominaciones de origen españolas garantizadas por este Tratado de Libre Comercio entre la UE y Canadá.</w:t>
      </w:r>
    </w:p>
    <w:p>
      <w:pPr>
        <w:pStyle w:val="Normal"/>
        <w:jc w:val="both"/>
        <w:rPr>
          <w:rFonts w:cs="Trade Gothic Next LT Pro Lt" w:ascii="Trade Gothic Next LT Pro Lt" w:hAnsi="Trade Gothic Next LT Pro Lt"/>
        </w:rPr>
      </w:pPr>
      <w:r>
        <w:rPr>
          <w:rFonts w:cs="Trade Gothic Next LT Pro Lt" w:ascii="Trade Gothic Next LT Pro Lt" w:hAnsi="Trade Gothic Next LT Pro Lt"/>
        </w:rPr>
      </w:r>
    </w:p>
    <w:p>
      <w:pPr>
        <w:pStyle w:val="Normal"/>
        <w:jc w:val="both"/>
        <w:rPr>
          <w:rFonts w:cs="Trade Gothic Next LT Pro Lt" w:ascii="Trade Gothic Next LT Pro Lt" w:hAnsi="Trade Gothic Next LT Pro Lt"/>
        </w:rPr>
      </w:pPr>
      <w:r>
        <w:rPr>
          <w:rFonts w:cs="Trade Gothic Next LT Pro Lt" w:ascii="Trade Gothic Next LT Pro Lt" w:hAnsi="Trade Gothic Next LT Pro Lt"/>
        </w:rPr>
        <w:t>Asimismo, esta proposición cuenta con el respaldo de las distintas organizaciones políticas, sindicales y sociales que conforman la Plataforma Provincial Cádiz contra el TTIP/CETA, entre las que se encuentran, además de las formaciones que presentamos esta proposición, Podemos, EQUO, UJCE, CC.OO., UGT, USTEA Intersindical, CGT, Ecologistas en Acción, ATTAC o FACUA, entre otras.</w:t>
      </w:r>
    </w:p>
    <w:p>
      <w:pPr>
        <w:pStyle w:val="Normal"/>
        <w:jc w:val="both"/>
        <w:rPr>
          <w:rFonts w:cs="Trade Gothic Next LT Pro Lt" w:ascii="Trade Gothic Next LT Pro Lt" w:hAnsi="Trade Gothic Next LT Pro Lt"/>
        </w:rPr>
      </w:pPr>
      <w:r>
        <w:rPr>
          <w:rFonts w:cs="Trade Gothic Next LT Pro Lt" w:ascii="Trade Gothic Next LT Pro Lt" w:hAnsi="Trade Gothic Next LT Pro Lt"/>
        </w:rPr>
      </w:r>
    </w:p>
    <w:p>
      <w:pPr>
        <w:pStyle w:val="Encabezado3"/>
        <w:numPr>
          <w:ilvl w:val="2"/>
          <w:numId w:val="2"/>
        </w:numPr>
        <w:spacing w:before="225" w:after="225"/>
        <w:jc w:val="both"/>
        <w:rPr>
          <w:rFonts w:cs="Trade Gothic Next LT Pro Lt" w:ascii="Trade Gothic Next LT Pro Lt" w:hAnsi="Trade Gothic Next LT Pro Lt"/>
          <w:b w:val="false"/>
          <w:bCs w:val="false"/>
          <w:sz w:val="24"/>
          <w:szCs w:val="24"/>
        </w:rPr>
      </w:pPr>
      <w:r>
        <w:rPr>
          <w:rFonts w:cs="Trade Gothic Next LT Pro Lt" w:ascii="Trade Gothic Next LT Pro Lt" w:hAnsi="Trade Gothic Next LT Pro Lt"/>
          <w:b w:val="false"/>
          <w:bCs w:val="false"/>
          <w:sz w:val="24"/>
          <w:szCs w:val="24"/>
        </w:rPr>
        <w:t xml:space="preserve">Por todo ello, el Ayuntamiento de Jerez adopta  los siguientes… </w:t>
      </w:r>
    </w:p>
    <w:p>
      <w:pPr>
        <w:pStyle w:val="Encabezado3"/>
        <w:numPr>
          <w:ilvl w:val="2"/>
          <w:numId w:val="2"/>
        </w:numPr>
        <w:spacing w:before="225" w:after="225"/>
        <w:ind w:left="0" w:right="0" w:firstLine="708"/>
        <w:jc w:val="center"/>
        <w:rPr>
          <w:rFonts w:cs="Trade Gothic Next LT Pro Lt" w:ascii="Trade Gothic Next LT Pro Lt" w:hAnsi="Trade Gothic Next LT Pro Lt"/>
          <w:sz w:val="28"/>
          <w:szCs w:val="28"/>
        </w:rPr>
      </w:pPr>
      <w:r>
        <w:rPr>
          <w:rFonts w:cs="Trade Gothic Next LT Pro Lt" w:ascii="Trade Gothic Next LT Pro Lt" w:hAnsi="Trade Gothic Next LT Pro Lt"/>
          <w:sz w:val="28"/>
          <w:szCs w:val="28"/>
        </w:rPr>
        <w:t>ACUERDOS:</w:t>
      </w:r>
    </w:p>
    <w:p>
      <w:pPr>
        <w:pStyle w:val="Encabezado4"/>
        <w:numPr>
          <w:ilvl w:val="3"/>
          <w:numId w:val="2"/>
        </w:numPr>
        <w:spacing w:before="225" w:after="225"/>
        <w:ind w:left="0" w:right="0" w:hanging="0"/>
        <w:jc w:val="both"/>
        <w:rPr>
          <w:rFonts w:cs="Trade Gothic Next LT Pro Lt" w:ascii="Trade Gothic Next LT Pro Lt" w:hAnsi="Trade Gothic Next LT Pro Lt"/>
          <w:sz w:val="24"/>
          <w:szCs w:val="24"/>
        </w:rPr>
      </w:pPr>
      <w:r>
        <w:rPr>
          <w:rFonts w:cs="Trade Gothic Next LT Pro Lt" w:ascii="Trade Gothic Next LT Pro Lt" w:hAnsi="Trade Gothic Next LT Pro Lt"/>
          <w:sz w:val="24"/>
          <w:szCs w:val="24"/>
        </w:rPr>
        <w:t>1º.- Instamos al Gobierno del Estado Español que la ratificación del CETA en España sea mediante un referéndum en el que participe toda la ciudadanía, no sólo mediante un decreto del Gobierno o de una votación en el Congreso de los Diputados.</w:t>
      </w:r>
    </w:p>
    <w:p>
      <w:pPr>
        <w:pStyle w:val="Encabezado4"/>
        <w:numPr>
          <w:ilvl w:val="3"/>
          <w:numId w:val="2"/>
        </w:numPr>
        <w:spacing w:before="225" w:after="225"/>
        <w:ind w:left="0" w:right="0" w:hanging="0"/>
        <w:jc w:val="both"/>
        <w:rPr>
          <w:rFonts w:cs="Trade Gothic Next LT Pro Lt" w:ascii="Trade Gothic Next LT Pro Lt" w:hAnsi="Trade Gothic Next LT Pro Lt"/>
          <w:sz w:val="24"/>
          <w:szCs w:val="24"/>
        </w:rPr>
      </w:pPr>
      <w:r>
        <w:rPr>
          <w:rFonts w:cs="Trade Gothic Next LT Pro Lt" w:ascii="Trade Gothic Next LT Pro Lt" w:hAnsi="Trade Gothic Next LT Pro Lt"/>
          <w:sz w:val="24"/>
          <w:szCs w:val="24"/>
        </w:rPr>
        <w:t>2º.- Dar traslado del siguiente Acuerdo al Gobierno del Estado Español y  a los distintos grupos parlamentarios de las Cortes generales.</w:t>
      </w:r>
    </w:p>
    <w:p>
      <w:pPr>
        <w:pStyle w:val="Normal"/>
        <w:ind w:left="0" w:right="0" w:firstLine="708"/>
        <w:jc w:val="both"/>
        <w:rPr>
          <w:rFonts w:cs="Trade Gothic Next LT Pro Lt" w:ascii="Trade Gothic Next LT Pro Lt" w:hAnsi="Trade Gothic Next LT Pro Lt"/>
        </w:rPr>
      </w:pPr>
      <w:r>
        <w:rPr>
          <w:rFonts w:cs="Trade Gothic Next LT Pro Lt" w:ascii="Trade Gothic Next LT Pro Lt" w:hAnsi="Trade Gothic Next LT Pro Lt"/>
        </w:rPr>
      </w:r>
    </w:p>
    <w:p>
      <w:pPr>
        <w:pStyle w:val="Normal"/>
        <w:rPr>
          <w:rFonts w:cs="Trade Gothic Next LT Pro Lt" w:ascii="Trade Gothic Next LT Pro Lt" w:hAnsi="Trade Gothic Next LT Pro Lt"/>
        </w:rPr>
      </w:pPr>
      <w:r>
        <w:rPr>
          <w:rFonts w:cs="Trade Gothic Next LT Pro Lt" w:ascii="Trade Gothic Next LT Pro Lt" w:hAnsi="Trade Gothic Next LT Pro Lt"/>
        </w:rPr>
      </w:r>
    </w:p>
    <w:p>
      <w:pPr>
        <w:pStyle w:val="Normal"/>
        <w:jc w:val="center"/>
        <w:rPr>
          <w:rFonts w:cs="Trade Gothic Next LT Pro Lt" w:ascii="Trade Gothic Next LT Pro Lt" w:hAnsi="Trade Gothic Next LT Pro Lt"/>
        </w:rPr>
      </w:pPr>
      <w:r>
        <w:rPr>
          <w:rFonts w:cs="Trade Gothic Next LT Pro Lt" w:ascii="Trade Gothic Next LT Pro Lt" w:hAnsi="Trade Gothic Next LT Pro Lt"/>
        </w:rPr>
      </w:r>
    </w:p>
    <w:p>
      <w:pPr>
        <w:pStyle w:val="Normal"/>
        <w:jc w:val="both"/>
        <w:rPr>
          <w:rFonts w:cs="Trade Gothic Next LT Pro Lt" w:ascii="Trade Gothic Next LT Pro Lt" w:hAnsi="Trade Gothic Next LT Pro Lt"/>
        </w:rPr>
      </w:pPr>
      <w:r>
        <w:rPr>
          <w:rFonts w:cs="Trade Gothic Next LT Pro Lt" w:ascii="Trade Gothic Next LT Pro Lt" w:hAnsi="Trade Gothic Next LT Pro Lt"/>
        </w:rPr>
      </w:r>
    </w:p>
    <w:p>
      <w:pPr>
        <w:pStyle w:val="Normal"/>
        <w:spacing w:lineRule="atLeast" w:line="100"/>
        <w:rPr>
          <w:rFonts w:cs="Trade Gothic Next LT Pro Lt" w:ascii="Trade Gothic Next LT Pro Lt" w:hAnsi="Trade Gothic Next LT Pro Lt"/>
        </w:rPr>
      </w:pPr>
      <w:r>
        <w:rPr>
          <w:rFonts w:cs="Trade Gothic Next LT Pro Lt" w:ascii="Trade Gothic Next LT Pro Lt" w:hAnsi="Trade Gothic Next LT Pro Lt"/>
        </w:rPr>
      </w:r>
    </w:p>
    <w:p>
      <w:pPr>
        <w:pStyle w:val="Normal"/>
        <w:spacing w:lineRule="atLeast" w:line="100"/>
        <w:rPr>
          <w:rFonts w:cs="Trade Gothic Next LT Pro Lt" w:ascii="Trade Gothic Next LT Pro Lt" w:hAnsi="Trade Gothic Next LT Pro Lt"/>
        </w:rPr>
      </w:pPr>
      <w:r>
        <w:rPr>
          <w:rFonts w:cs="Trade Gothic Next LT Pro Lt" w:ascii="Trade Gothic Next LT Pro Lt" w:hAnsi="Trade Gothic Next LT Pro Lt"/>
        </w:rPr>
      </w:r>
    </w:p>
    <w:p>
      <w:pPr>
        <w:pStyle w:val="Normal"/>
        <w:spacing w:lineRule="atLeast" w:line="100"/>
        <w:rPr>
          <w:rFonts w:cs="Trade Gothic Next LT Pro Lt" w:ascii="Trade Gothic Next LT Pro Lt" w:hAnsi="Trade Gothic Next LT Pro Lt"/>
        </w:rPr>
      </w:pPr>
      <w:r>
        <w:rPr>
          <w:rFonts w:cs="Trade Gothic Next LT Pro Lt" w:ascii="Trade Gothic Next LT Pro Lt" w:hAnsi="Trade Gothic Next LT Pro Lt"/>
        </w:rPr>
        <w:t>En Jerez, a 20 de marzo de 2017</w:t>
      </w:r>
    </w:p>
    <w:p>
      <w:pPr>
        <w:pStyle w:val="Normal"/>
        <w:spacing w:lineRule="atLeast" w:line="100"/>
        <w:rPr>
          <w:rFonts w:cs="Trade Gothic Next LT Pro Lt" w:ascii="Trade Gothic Next LT Pro Lt" w:hAnsi="Trade Gothic Next LT Pro Lt"/>
        </w:rPr>
      </w:pPr>
      <w:r>
        <w:rPr>
          <w:rFonts w:cs="Trade Gothic Next LT Pro Lt" w:ascii="Trade Gothic Next LT Pro Lt" w:hAnsi="Trade Gothic Next LT Pro Lt"/>
        </w:rPr>
      </w:r>
    </w:p>
    <w:p>
      <w:pPr>
        <w:pStyle w:val="Normal"/>
        <w:spacing w:lineRule="atLeast" w:line="100"/>
        <w:rPr>
          <w:rFonts w:eastAsia="Calibri" w:cs="Trade Gothic Next LT Pro Lt" w:ascii="Trade Gothic Next LT Pro Lt" w:hAnsi="Trade Gothic Next LT Pro Lt"/>
        </w:rPr>
      </w:pPr>
      <w:r>
        <w:rPr>
          <w:rFonts w:eastAsia="Calibri" w:cs="Trade Gothic Next LT Pro Lt" w:ascii="Trade Gothic Next LT Pro Lt" w:hAnsi="Trade Gothic Next LT Pro Lt"/>
        </w:rPr>
      </w:r>
    </w:p>
    <w:p>
      <w:pPr>
        <w:pStyle w:val="Normal"/>
        <w:spacing w:lineRule="atLeast" w:line="100"/>
        <w:rPr>
          <w:rFonts w:eastAsia="Calibri" w:cs="Trade Gothic Next LT Pro Lt" w:ascii="Trade Gothic Next LT Pro Lt" w:hAnsi="Trade Gothic Next LT Pro Lt"/>
        </w:rPr>
      </w:pPr>
      <w:r>
        <w:rPr>
          <w:rFonts w:eastAsia="Calibri" w:cs="Trade Gothic Next LT Pro Lt" w:ascii="Trade Gothic Next LT Pro Lt" w:hAnsi="Trade Gothic Next LT Pro Lt"/>
        </w:rPr>
      </w:r>
    </w:p>
    <w:p>
      <w:pPr>
        <w:pStyle w:val="Normal"/>
        <w:spacing w:lineRule="atLeast" w:line="100"/>
        <w:rPr>
          <w:rFonts w:eastAsia="Calibri" w:cs="Trade Gothic Next LT Pro Lt" w:ascii="Trade Gothic Next LT Pro Lt" w:hAnsi="Trade Gothic Next LT Pro Lt"/>
        </w:rPr>
      </w:pPr>
      <w:r>
        <w:rPr>
          <w:rFonts w:eastAsia="Calibri" w:cs="Trade Gothic Next LT Pro Lt" w:ascii="Trade Gothic Next LT Pro Lt" w:hAnsi="Trade Gothic Next LT Pro Lt"/>
        </w:rPr>
      </w:r>
    </w:p>
    <w:p>
      <w:pPr>
        <w:pStyle w:val="Normal"/>
        <w:rPr>
          <w:rFonts w:cs="Trade Gothic Next LT Pro Lt" w:ascii="Trade Gothic Next LT Pro Lt" w:hAnsi="Trade Gothic Next LT Pro Lt"/>
        </w:rPr>
      </w:pPr>
      <w:r>
        <w:rPr>
          <w:rFonts w:cs="Trade Gothic Next LT Pro Lt" w:ascii="Trade Gothic Next LT Pro Lt" w:hAnsi="Trade Gothic Next LT Pro Lt"/>
        </w:rPr>
        <w:t>Raúl Ruiz-Berdejo</w:t>
        <w:tab/>
        <w:tab/>
        <w:tab/>
        <w:tab/>
        <w:tab/>
        <w:t>Santiago Sánchez Muñoz</w:t>
      </w:r>
    </w:p>
    <w:p>
      <w:pPr>
        <w:pStyle w:val="Normal"/>
        <w:rPr>
          <w:rFonts w:cs="Trade Gothic Next LT Pro Lt" w:ascii="Trade Gothic Next LT Pro Lt" w:hAnsi="Trade Gothic Next LT Pro Lt"/>
        </w:rPr>
      </w:pPr>
      <w:r>
        <w:rPr>
          <w:rFonts w:cs="Trade Gothic Next LT Pro Lt" w:ascii="Trade Gothic Next LT Pro Lt" w:hAnsi="Trade Gothic Next LT Pro Lt"/>
        </w:rPr>
        <w:t>(Grupo Municipal IULV-CA)</w:t>
        <w:tab/>
        <w:tab/>
        <w:tab/>
        <w:tab/>
        <w:t>(Grupo Municipal Ganemos Jerez)</w:t>
      </w:r>
    </w:p>
    <w:p>
      <w:pPr>
        <w:pStyle w:val="Normal"/>
        <w:rPr/>
      </w:pPr>
      <w:r>
        <w:rPr/>
      </w:r>
    </w:p>
    <w:sectPr>
      <w:headerReference w:type="default" r:id="rId2"/>
      <w:footerReference w:type="default" r:id="rId3"/>
      <w:type w:val="nextPage"/>
      <w:pgSz w:w="11906" w:h="16838"/>
      <w:pgMar w:left="1134" w:right="1134" w:header="113" w:top="1134" w:footer="624"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Garamond">
    <w:charset w:val="00"/>
    <w:family w:val="roman"/>
    <w:pitch w:val="variable"/>
  </w:font>
  <w:font w:name="Garamond">
    <w:charset w:val="01"/>
    <w:family w:val="roman"/>
    <w:pitch w:val="default"/>
  </w:font>
  <w:font w:name="Trade Gothic Next LT Pro Lt">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right"/>
      <w:rPr/>
    </w:pPr>
    <w:r>
      <w:rPr/>
      <w:fldChar w:fldCharType="begin"/>
    </w:r>
    <w:r>
      <w:instrText> PAGE </w:instrText>
    </w:r>
    <w:r>
      <w:fldChar w:fldCharType="separate"/>
    </w:r>
    <w:r>
      <w:t>3</w:t>
    </w:r>
    <w:r>
      <w:fldChar w:fldCharType="end"/>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cabezamiento"/>
      <w:jc w:val="right"/>
      <w:rPr/>
    </w:pPr>
    <w:r>
      <w:rPr/>
      <w:drawing>
        <wp:inline distT="0" distB="0" distL="0" distR="0">
          <wp:extent cx="733425" cy="73342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733425" cy="733425"/>
                  </a:xfrm>
                  <a:prstGeom prst="rect">
                    <a:avLst/>
                  </a:prstGeom>
                  <a:noFill/>
                  <a:ln w="9525">
                    <a:noFill/>
                    <a:miter lim="800000"/>
                    <a:headEnd/>
                    <a:tailEnd/>
                  </a:ln>
                </pic:spPr>
              </pic:pic>
            </a:graphicData>
          </a:graphic>
        </wp:inline>
      </w:drawing>
    </w:r>
    <w:r>
      <w:rPr/>
      <w:drawing>
        <wp:inline distT="0" distB="0" distL="0" distR="0">
          <wp:extent cx="752475" cy="7524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752475" cy="752475"/>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2">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s-ES" w:eastAsia="zh-CN" w:bidi="hi-IN"/>
      </w:rPr>
    </w:rPrDefault>
    <w:pPrDefault>
      <w:pPr/>
    </w:pPrDefault>
  </w:docDefaults>
  <w:style w:type="paragraph" w:styleId="Normal">
    <w:name w:val="Normal"/>
    <w:pPr>
      <w:widowControl/>
      <w:suppressAutoHyphens w:val="true"/>
      <w:bidi w:val="0"/>
    </w:pPr>
    <w:rPr>
      <w:rFonts w:ascii="Garamond" w:hAnsi="Garamond" w:eastAsia="SimSun;宋体" w:cs="Lucida Sans"/>
      <w:color w:val="auto"/>
      <w:sz w:val="24"/>
      <w:szCs w:val="24"/>
      <w:lang w:val="es-ES" w:eastAsia="zh-CN" w:bidi="hi-IN"/>
    </w:rPr>
  </w:style>
  <w:style w:type="paragraph" w:styleId="Encabezado1">
    <w:name w:val="Encabezado 1"/>
    <w:basedOn w:val="Encabezado"/>
    <w:next w:val="Cuerpodetexto"/>
    <w:pPr>
      <w:numPr>
        <w:ilvl w:val="0"/>
        <w:numId w:val="2"/>
      </w:numPr>
      <w:spacing w:before="240" w:after="120"/>
      <w:ind w:left="0" w:right="0" w:hanging="0"/>
      <w:outlineLvl w:val="0"/>
      <w:outlineLvl w:val="0"/>
    </w:pPr>
    <w:rPr>
      <w:b/>
      <w:bCs/>
      <w:sz w:val="36"/>
      <w:szCs w:val="36"/>
    </w:rPr>
  </w:style>
  <w:style w:type="paragraph" w:styleId="Encabezado2">
    <w:name w:val="Encabezado 2"/>
    <w:basedOn w:val="Encabezado"/>
    <w:next w:val="Cuerpodetexto"/>
    <w:pPr>
      <w:numPr>
        <w:ilvl w:val="1"/>
        <w:numId w:val="2"/>
      </w:numPr>
      <w:spacing w:before="200" w:after="120"/>
      <w:ind w:left="0" w:right="0" w:hanging="0"/>
      <w:outlineLvl w:val="1"/>
      <w:outlineLvl w:val="1"/>
    </w:pPr>
    <w:rPr>
      <w:b/>
      <w:bCs/>
      <w:sz w:val="32"/>
      <w:szCs w:val="32"/>
    </w:rPr>
  </w:style>
  <w:style w:type="paragraph" w:styleId="Encabezado3">
    <w:name w:val="Encabezado 3"/>
    <w:basedOn w:val="Normal"/>
    <w:next w:val="Cuerpodetexto"/>
    <w:pPr>
      <w:numPr>
        <w:ilvl w:val="2"/>
        <w:numId w:val="2"/>
      </w:numPr>
      <w:spacing w:lineRule="auto" w:line="240" w:before="280" w:after="280"/>
      <w:outlineLvl w:val="2"/>
      <w:outlineLvl w:val="2"/>
    </w:pPr>
    <w:rPr>
      <w:rFonts w:ascii="Times New Roman" w:hAnsi="Times New Roman" w:eastAsia="Times New Roman" w:cs="Times New Roman"/>
      <w:b/>
      <w:bCs/>
      <w:sz w:val="27"/>
      <w:szCs w:val="27"/>
      <w:lang w:val="es-ES"/>
    </w:rPr>
  </w:style>
  <w:style w:type="paragraph" w:styleId="Encabezado4">
    <w:name w:val="Encabezado 4"/>
    <w:basedOn w:val="Encabezado"/>
    <w:next w:val="Cuerpodetexto"/>
    <w:pPr>
      <w:numPr>
        <w:ilvl w:val="3"/>
        <w:numId w:val="2"/>
      </w:numPr>
      <w:spacing w:before="120" w:after="120"/>
      <w:ind w:left="0" w:right="0" w:hanging="0"/>
      <w:outlineLvl w:val="3"/>
      <w:outlineLvl w:val="3"/>
    </w:pPr>
    <w:rPr>
      <w:b/>
      <w:bCs/>
      <w:i/>
      <w:iCs/>
      <w:sz w:val="27"/>
      <w:szCs w:val="27"/>
    </w:rPr>
  </w:style>
  <w:style w:type="paragraph" w:styleId="Encabezado5">
    <w:name w:val="Encabezado 5"/>
    <w:basedOn w:val="Encabezado"/>
    <w:next w:val="Cuerpodetexto"/>
    <w:pPr>
      <w:numPr>
        <w:ilvl w:val="4"/>
        <w:numId w:val="2"/>
      </w:numPr>
      <w:spacing w:before="120" w:after="60"/>
      <w:ind w:left="0" w:right="0" w:hanging="0"/>
      <w:outlineLvl w:val="4"/>
      <w:outlineLvl w:val="4"/>
    </w:pPr>
    <w:rPr>
      <w:b/>
      <w:bCs/>
      <w:sz w:val="24"/>
      <w:szCs w:val="24"/>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Fuentedeprrafopredeter">
    <w:name w:val="Fuente de párrafo predeter."/>
    <w:rPr/>
  </w:style>
  <w:style w:type="character" w:styleId="EncabezadoCar">
    <w:name w:val="Encabezado Car"/>
    <w:rPr>
      <w:rFonts w:ascii="Garamond" w:hAnsi="Garamond" w:eastAsia="SimSun;宋体" w:cs="Mangal;Courier New"/>
      <w:sz w:val="24"/>
      <w:szCs w:val="21"/>
      <w:lang w:eastAsia="zh-CN" w:bidi="hi-IN"/>
    </w:rPr>
  </w:style>
  <w:style w:type="character" w:styleId="PiedepginaCar">
    <w:name w:val="Pie de página Car"/>
    <w:rPr>
      <w:rFonts w:ascii="Garamond" w:hAnsi="Garamond" w:eastAsia="SimSun;宋体" w:cs="Mangal;Courier New"/>
      <w:sz w:val="24"/>
      <w:szCs w:val="21"/>
      <w:lang w:eastAsia="zh-CN" w:bidi="hi-IN"/>
    </w:rPr>
  </w:style>
  <w:style w:type="paragraph" w:styleId="Encabezado">
    <w:name w:val="Encabezado"/>
    <w:basedOn w:val="Normal"/>
    <w:next w:val="Cuerpodetexto"/>
    <w:pPr>
      <w:keepNext/>
      <w:spacing w:before="240" w:after="120"/>
    </w:pPr>
    <w:rPr>
      <w:rFonts w:ascii="Garamond" w:hAnsi="Garamond" w:eastAsia="Microsoft YaHei" w:cs="Lucida 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ascii="Garamond" w:hAnsi="Garamond" w:cs="Lucida 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ascii="Garamond" w:hAnsi="Garamond" w:cs="Lucida Sans"/>
    </w:rPr>
  </w:style>
  <w:style w:type="paragraph" w:styleId="Leyenda">
    <w:name w:val="Leyenda"/>
    <w:basedOn w:val="Normal"/>
    <w:pPr>
      <w:suppressLineNumbers/>
      <w:spacing w:before="120" w:after="120"/>
    </w:pPr>
    <w:rPr>
      <w:rFonts w:ascii="Garamond" w:hAnsi="Garamond" w:cs="Lucida Sans"/>
      <w:i/>
      <w:iCs/>
      <w:sz w:val="24"/>
      <w:szCs w:val="24"/>
    </w:rPr>
  </w:style>
  <w:style w:type="paragraph" w:styleId="Encabezado11">
    <w:name w:val="Encabezado1"/>
    <w:basedOn w:val="Normal"/>
    <w:next w:val="Cuerpodetexto"/>
    <w:pPr>
      <w:keepNext/>
      <w:spacing w:before="240" w:after="120"/>
    </w:pPr>
    <w:rPr>
      <w:rFonts w:ascii="Garamond" w:hAnsi="Garamond" w:eastAsia="Microsoft YaHei" w:cs="Lucida Sans"/>
      <w:sz w:val="28"/>
      <w:szCs w:val="28"/>
    </w:rPr>
  </w:style>
  <w:style w:type="paragraph" w:styleId="Epgrafe">
    <w:name w:val="Epígrafe"/>
    <w:basedOn w:val="Normal"/>
    <w:pPr>
      <w:suppressLineNumbers/>
      <w:spacing w:before="120" w:after="120"/>
    </w:pPr>
    <w:rPr>
      <w:rFonts w:ascii="Garamond" w:hAnsi="Garamond" w:cs="Lucida Sans"/>
      <w:i/>
      <w:iCs/>
      <w:sz w:val="24"/>
      <w:szCs w:val="24"/>
    </w:rPr>
  </w:style>
  <w:style w:type="paragraph" w:styleId="Encabezamiento">
    <w:name w:val="Encabezamiento"/>
    <w:basedOn w:val="Normal"/>
    <w:pPr>
      <w:tabs>
        <w:tab w:val="center" w:pos="4252" w:leader="none"/>
        <w:tab w:val="right" w:pos="8504" w:leader="none"/>
      </w:tabs>
    </w:pPr>
    <w:rPr>
      <w:rFonts w:cs="Mangal;Courier New"/>
      <w:szCs w:val="21"/>
    </w:rPr>
  </w:style>
  <w:style w:type="paragraph" w:styleId="Piedepgina">
    <w:name w:val="Pie de página"/>
    <w:basedOn w:val="Normal"/>
    <w:pPr>
      <w:tabs>
        <w:tab w:val="center" w:pos="4252" w:leader="none"/>
        <w:tab w:val="right" w:pos="8504" w:leader="none"/>
      </w:tabs>
    </w:pPr>
    <w:rPr>
      <w:rFonts w:cs="Mangal;Courier New"/>
      <w:szCs w:val="21"/>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Normal</Template>
  <TotalTime>1003</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2016-10-25T09:04:00Z</dcterms:created>
  <dc:language>es-ES</dc:language>
  <cp:lastPrinted>2017-03-29T13:17:13Z</cp:lastPrinted>
  <dcterms:modified xsi:type="dcterms:W3CDTF">2017-03-20T14:53:40Z</dcterms:modified>
  <cp:revision>8</cp:revision>
</cp:coreProperties>
</file>