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Encabezado1"/>
        <w:numPr>
          <w:ilvl w:val="0"/>
          <w:numId w:val="1"/>
        </w:numPr>
        <w:spacing w:lineRule="auto" w:line="240" w:before="240" w:after="120"/>
        <w:jc w:val="both"/>
        <w:rPr/>
      </w:pPr>
      <w:r>
        <w:rPr/>
      </w:r>
    </w:p>
    <w:p>
      <w:pPr>
        <w:pStyle w:val="Encabezado1"/>
        <w:numPr>
          <w:ilvl w:val="0"/>
          <w:numId w:val="1"/>
        </w:numPr>
        <w:spacing w:lineRule="auto" w:line="240"/>
        <w:jc w:val="center"/>
        <w:rPr>
          <w:rFonts w:cs="Cambria" w:ascii="Cambria" w:hAnsi="Cambria"/>
          <w:b/>
          <w:sz w:val="24"/>
          <w:szCs w:val="24"/>
        </w:rPr>
      </w:pPr>
      <w:r>
        <w:rPr>
          <w:rFonts w:cs="Cambria" w:ascii="Cambria" w:hAnsi="Cambria"/>
          <w:b/>
          <w:sz w:val="24"/>
          <w:szCs w:val="24"/>
        </w:rPr>
        <w:t>AL PLENO DEL EXCMO. AYUNTAMIENTO DE JEREZ</w:t>
      </w:r>
    </w:p>
    <w:p>
      <w:pPr>
        <w:pStyle w:val="Cuerpodetexto"/>
        <w:spacing w:lineRule="auto" w:line="240"/>
        <w:jc w:val="both"/>
        <w:rPr>
          <w:rFonts w:cs="Cambria" w:ascii="Cambria" w:hAnsi="Cambria"/>
          <w:b/>
          <w:bCs/>
          <w:sz w:val="24"/>
          <w:szCs w:val="24"/>
        </w:rPr>
      </w:pPr>
      <w:r>
        <w:rPr>
          <w:rFonts w:cs="Cambria" w:ascii="Cambria" w:hAnsi="Cambria"/>
          <w:b/>
          <w:bCs/>
          <w:sz w:val="24"/>
          <w:szCs w:val="24"/>
        </w:rPr>
      </w:r>
    </w:p>
    <w:p>
      <w:pPr>
        <w:pStyle w:val="Cuerpodetexto"/>
        <w:spacing w:lineRule="auto" w:line="240"/>
        <w:jc w:val="both"/>
        <w:rPr>
          <w:rFonts w:cs="Cambria" w:ascii="Cambria" w:hAnsi="Cambria"/>
          <w:b/>
          <w:bCs/>
          <w:sz w:val="24"/>
          <w:szCs w:val="24"/>
        </w:rPr>
      </w:pPr>
      <w:r>
        <w:rPr>
          <w:rFonts w:cs="Cambria" w:ascii="Cambria" w:hAnsi="Cambria"/>
          <w:b/>
          <w:bCs/>
          <w:sz w:val="24"/>
          <w:szCs w:val="24"/>
        </w:rPr>
        <w:t>A/a Secretaría General</w:t>
      </w:r>
    </w:p>
    <w:p>
      <w:pPr>
        <w:pStyle w:val="Cuerpodetexto"/>
        <w:spacing w:lineRule="auto" w:line="240"/>
        <w:jc w:val="both"/>
        <w:rPr>
          <w:rFonts w:cs="Cambria" w:ascii="Cambria" w:hAnsi="Cambria"/>
          <w:sz w:val="24"/>
          <w:szCs w:val="24"/>
        </w:rPr>
      </w:pPr>
      <w:r>
        <w:rPr>
          <w:rFonts w:cs="Cambria" w:ascii="Cambria" w:hAnsi="Cambria"/>
          <w:sz w:val="24"/>
          <w:szCs w:val="24"/>
        </w:rPr>
      </w:r>
    </w:p>
    <w:p>
      <w:pPr>
        <w:pStyle w:val="Cuerpodetexto"/>
        <w:spacing w:lineRule="auto" w:line="240"/>
        <w:jc w:val="both"/>
        <w:rPr>
          <w:rFonts w:cs="Cambria" w:ascii="Cambria" w:hAnsi="Cambria"/>
          <w:sz w:val="24"/>
          <w:szCs w:val="24"/>
        </w:rPr>
      </w:pPr>
      <w:r>
        <w:rPr>
          <w:rFonts w:cs="Cambria" w:ascii="Cambria" w:hAnsi="Cambria"/>
          <w:sz w:val="24"/>
          <w:szCs w:val="24"/>
        </w:rPr>
        <w:t xml:space="preserve">El Grupo Municipal Ganemos Jerez, en virtud de lo establecido en el artículo 93 del Reglamento Orgánico municipal, viene a formular en el próximo Pleno Ordinario, la siguiente INTERPELACIÓN: </w:t>
      </w:r>
    </w:p>
    <w:p>
      <w:pPr>
        <w:pStyle w:val="Cuerpodetexto"/>
        <w:spacing w:lineRule="auto" w:line="240"/>
        <w:jc w:val="center"/>
        <w:rPr>
          <w:rFonts w:cs="Cambria" w:ascii="Cambria" w:hAnsi="Cambria"/>
          <w:b/>
          <w:bCs/>
          <w:color w:val="000000"/>
          <w:sz w:val="24"/>
          <w:szCs w:val="24"/>
        </w:rPr>
      </w:pPr>
      <w:r>
        <w:rPr>
          <w:rFonts w:cs="Cambria" w:ascii="Cambria" w:hAnsi="Cambria"/>
          <w:b/>
          <w:bCs/>
          <w:color w:val="000000"/>
          <w:sz w:val="24"/>
          <w:szCs w:val="24"/>
        </w:rPr>
      </w:r>
    </w:p>
    <w:p>
      <w:pPr>
        <w:pStyle w:val="Cuerpodetexto"/>
        <w:spacing w:lineRule="auto" w:line="240"/>
        <w:jc w:val="center"/>
        <w:rPr>
          <w:rFonts w:cs="Cambria" w:ascii="Cambria" w:hAnsi="Cambria"/>
          <w:b/>
          <w:bCs/>
          <w:color w:val="000000"/>
          <w:sz w:val="24"/>
          <w:szCs w:val="24"/>
        </w:rPr>
      </w:pPr>
      <w:r>
        <w:rPr>
          <w:rFonts w:cs="Cambria" w:ascii="Cambria" w:hAnsi="Cambria"/>
          <w:b/>
          <w:bCs/>
          <w:color w:val="000000"/>
          <w:sz w:val="24"/>
          <w:szCs w:val="24"/>
        </w:rPr>
        <w:t>Exposición de Motivos</w:t>
      </w:r>
    </w:p>
    <w:p>
      <w:pPr>
        <w:pStyle w:val="Cuerpodetexto"/>
        <w:spacing w:lineRule="auto" w:line="240"/>
        <w:jc w:val="both"/>
        <w:rPr>
          <w:rFonts w:cs="Cambria" w:ascii="Cambria" w:hAnsi="Cambria"/>
          <w:sz w:val="24"/>
          <w:szCs w:val="24"/>
        </w:rPr>
      </w:pPr>
      <w:r>
        <w:rPr>
          <w:rFonts w:cs="Cambria" w:ascii="Cambria" w:hAnsi="Cambria"/>
          <w:sz w:val="24"/>
          <w:szCs w:val="24"/>
        </w:rPr>
        <w:t xml:space="preserve">Hemos sabido que se ha dado el caso de un trabajador afectado por el ERE municipal, en el que la sentencia de primera instancia, es decir, de lo social de Jerez, no dio por formulada la opción de la empresa de elegir entre abonar la indemnización correspondiente al despido improcedente o readmitir al trabajador a su puesto de trabajo. Esta circunstancia fue alegada por su abogado en el TSJ Andalucía, quien la estima y da al Ayuntamiento un plazo de cinco días para que opte entre la readmisión o la indemnización. </w:t>
      </w:r>
    </w:p>
    <w:p>
      <w:pPr>
        <w:pStyle w:val="Cuerpodetexto"/>
        <w:spacing w:lineRule="auto" w:line="240"/>
        <w:jc w:val="both"/>
        <w:rPr>
          <w:rFonts w:cs="Cambria" w:ascii="Cambria" w:hAnsi="Cambria"/>
          <w:sz w:val="24"/>
          <w:szCs w:val="24"/>
        </w:rPr>
      </w:pPr>
      <w:r>
        <w:rPr>
          <w:rFonts w:cs="Cambria" w:ascii="Cambria" w:hAnsi="Cambria"/>
          <w:sz w:val="24"/>
          <w:szCs w:val="24"/>
        </w:rPr>
        <w:t>Hemos leído en la prensa que el ayuntamiento ha optado por la readmisión del trabajador.</w:t>
      </w:r>
    </w:p>
    <w:p>
      <w:pPr>
        <w:pStyle w:val="Cuerpodetexto"/>
        <w:spacing w:lineRule="auto" w:line="240"/>
        <w:jc w:val="both"/>
        <w:rPr>
          <w:rFonts w:cs="Cambria" w:ascii="Cambria" w:hAnsi="Cambria"/>
          <w:b/>
          <w:bCs/>
          <w:sz w:val="24"/>
          <w:szCs w:val="24"/>
        </w:rPr>
      </w:pPr>
      <w:r>
        <w:rPr>
          <w:rFonts w:cs="Cambria" w:ascii="Cambria" w:hAnsi="Cambria"/>
          <w:b/>
          <w:bCs/>
          <w:sz w:val="24"/>
          <w:szCs w:val="24"/>
        </w:rPr>
        <w:t>INTERPELACIÓN.</w:t>
      </w:r>
    </w:p>
    <w:p>
      <w:pPr>
        <w:pStyle w:val="Cuerpodetexto"/>
        <w:spacing w:lineRule="auto" w:line="240"/>
        <w:jc w:val="both"/>
        <w:rPr>
          <w:rFonts w:cs="Cambria" w:ascii="Cambria" w:hAnsi="Cambria"/>
          <w:b/>
          <w:bCs/>
          <w:sz w:val="24"/>
          <w:szCs w:val="24"/>
        </w:rPr>
      </w:pPr>
      <w:r>
        <w:rPr>
          <w:rFonts w:cs="Cambria" w:ascii="Cambria" w:hAnsi="Cambria"/>
          <w:b/>
          <w:bCs/>
          <w:sz w:val="24"/>
          <w:szCs w:val="24"/>
        </w:rPr>
        <w:t>¿Por qué motivo en esta ocasión no se ha valorado el “interés general” o “interés público” que se supone que fue el motivo por el que no se readmitieron a los demás afectados?</w:t>
      </w:r>
    </w:p>
    <w:p>
      <w:pPr>
        <w:pStyle w:val="Cuerpodetexto"/>
        <w:spacing w:lineRule="auto" w:line="240"/>
        <w:jc w:val="both"/>
        <w:rPr>
          <w:rFonts w:cs="Cambria" w:ascii="Cambria" w:hAnsi="Cambria"/>
          <w:b/>
          <w:bCs/>
          <w:sz w:val="24"/>
          <w:szCs w:val="24"/>
        </w:rPr>
      </w:pPr>
      <w:r>
        <w:rPr>
          <w:rFonts w:cs="Cambria" w:ascii="Cambria" w:hAnsi="Cambria"/>
          <w:b/>
          <w:bCs/>
          <w:sz w:val="24"/>
          <w:szCs w:val="24"/>
        </w:rPr>
        <w:t>¿Por qué motivo en esta ocasión no hemos conocido de la emisión de ningún informe jurídico que avalara esta decisión?</w:t>
      </w:r>
    </w:p>
    <w:p>
      <w:pPr>
        <w:pStyle w:val="Cuerpodetexto"/>
        <w:spacing w:lineRule="auto" w:line="240"/>
        <w:jc w:val="both"/>
        <w:rPr>
          <w:rFonts w:cs="Cambria" w:ascii="Cambria" w:hAnsi="Cambria"/>
          <w:b/>
          <w:bCs/>
          <w:sz w:val="24"/>
          <w:szCs w:val="24"/>
        </w:rPr>
      </w:pPr>
      <w:r>
        <w:rPr>
          <w:rFonts w:cs="Cambria" w:ascii="Cambria" w:hAnsi="Cambria"/>
          <w:b/>
          <w:bCs/>
          <w:sz w:val="24"/>
          <w:szCs w:val="24"/>
        </w:rPr>
        <w:t>¿Cuál es el motivo que ha justificado que no se daña a la hacienda pública o a ningún tercero optando por la readmisión?</w:t>
      </w:r>
    </w:p>
    <w:p>
      <w:pPr>
        <w:pStyle w:val="Cuerpodetexto"/>
        <w:spacing w:lineRule="auto" w:line="240"/>
        <w:rPr>
          <w:rFonts w:cs="Cambria" w:ascii="Cambria" w:hAnsi="Cambria"/>
          <w:sz w:val="24"/>
          <w:szCs w:val="24"/>
        </w:rPr>
      </w:pPr>
      <w:r>
        <w:rPr>
          <w:rFonts w:cs="Cambria" w:ascii="Cambria" w:hAnsi="Cambria"/>
          <w:sz w:val="24"/>
          <w:szCs w:val="24"/>
        </w:rPr>
        <w:t>En Jerez de la Frontera, a 14 de Marzo de 2017.</w:t>
      </w:r>
    </w:p>
    <w:p>
      <w:pPr>
        <w:pStyle w:val="Cuerpodetexto"/>
        <w:spacing w:lineRule="auto" w:line="240"/>
        <w:rPr>
          <w:rFonts w:cs="Cambria" w:ascii="Cambria" w:hAnsi="Cambria"/>
          <w:sz w:val="24"/>
          <w:szCs w:val="24"/>
        </w:rPr>
      </w:pPr>
      <w:r>
        <w:rPr>
          <w:rFonts w:cs="Cambria" w:ascii="Cambria" w:hAnsi="Cambria"/>
          <w:sz w:val="24"/>
          <w:szCs w:val="24"/>
        </w:rPr>
      </w:r>
    </w:p>
    <w:p>
      <w:pPr>
        <w:pStyle w:val="Cuerpodetexto"/>
        <w:spacing w:lineRule="auto" w:line="240"/>
        <w:rPr>
          <w:rFonts w:cs="Cambria" w:ascii="Cambria" w:hAnsi="Cambria"/>
          <w:sz w:val="24"/>
          <w:szCs w:val="24"/>
        </w:rPr>
      </w:pPr>
      <w:r>
        <w:rPr>
          <w:rFonts w:cs="Cambria" w:ascii="Cambria" w:hAnsi="Cambria"/>
          <w:sz w:val="24"/>
          <w:szCs w:val="24"/>
        </w:rPr>
      </w:r>
    </w:p>
    <w:p>
      <w:pPr>
        <w:pStyle w:val="Cuerpodetexto"/>
        <w:tabs>
          <w:tab w:val="left" w:pos="5280" w:leader="none"/>
        </w:tabs>
        <w:spacing w:lineRule="auto" w:line="240"/>
        <w:rPr>
          <w:rFonts w:cs="Cambria" w:ascii="Cambria" w:hAnsi="Cambria"/>
          <w:sz w:val="24"/>
          <w:szCs w:val="24"/>
        </w:rPr>
      </w:pPr>
      <w:r>
        <w:rPr>
          <w:rFonts w:cs="Cambria" w:ascii="Cambria" w:hAnsi="Cambria"/>
          <w:sz w:val="24"/>
          <w:szCs w:val="24"/>
        </w:rPr>
        <w:tab/>
      </w:r>
    </w:p>
    <w:p>
      <w:pPr>
        <w:pStyle w:val="Cuerpodetexto"/>
        <w:spacing w:lineRule="auto" w:line="240"/>
        <w:rPr>
          <w:rFonts w:cs="Cambria" w:ascii="Cambria" w:hAnsi="Cambria"/>
          <w:sz w:val="24"/>
          <w:szCs w:val="24"/>
        </w:rPr>
      </w:pPr>
      <w:r>
        <w:rPr>
          <w:rFonts w:cs="Cambria" w:ascii="Cambria" w:hAnsi="Cambria"/>
          <w:sz w:val="24"/>
          <w:szCs w:val="24"/>
        </w:rPr>
      </w:r>
    </w:p>
    <w:p>
      <w:pPr>
        <w:pStyle w:val="Cuerpodetexto"/>
        <w:spacing w:lineRule="auto" w:line="240"/>
        <w:rPr>
          <w:rFonts w:cs="Cambria" w:ascii="Cambria" w:hAnsi="Cambria"/>
          <w:sz w:val="24"/>
          <w:szCs w:val="24"/>
        </w:rPr>
      </w:pPr>
      <w:r>
        <w:rPr>
          <w:rFonts w:cs="Cambria" w:ascii="Cambria" w:hAnsi="Cambria"/>
          <w:sz w:val="24"/>
          <w:szCs w:val="24"/>
        </w:rPr>
        <w:t>Fdo.: Santiago Sánchez Muñoz.</w:t>
      </w:r>
    </w:p>
    <w:p>
      <w:pPr>
        <w:pStyle w:val="Cuerpodetexto"/>
        <w:spacing w:lineRule="auto" w:line="240"/>
        <w:rPr>
          <w:rFonts w:cs="Cambria" w:ascii="Cambria" w:hAnsi="Cambria"/>
          <w:sz w:val="24"/>
          <w:szCs w:val="24"/>
        </w:rPr>
      </w:pPr>
      <w:r>
        <w:rPr>
          <w:rFonts w:cs="Cambria" w:ascii="Cambria" w:hAnsi="Cambria"/>
          <w:sz w:val="24"/>
          <w:szCs w:val="24"/>
        </w:rPr>
        <w:t>(Portavoz Grupo Municipal Ganemos Jerez)</w:t>
      </w:r>
    </w:p>
    <w:p>
      <w:pPr>
        <w:pStyle w:val="Normal"/>
        <w:spacing w:before="0" w:after="160"/>
        <w:rPr>
          <w:rFonts w:cs="Cambria" w:ascii="Cambria" w:hAnsi="Cambria"/>
          <w:sz w:val="24"/>
          <w:szCs w:val="24"/>
        </w:rPr>
      </w:pPr>
      <w:r>
        <w:rPr>
          <w:rFonts w:cs="Cambria" w:ascii="Cambria" w:hAnsi="Cambria"/>
          <w:sz w:val="24"/>
          <w:szCs w:val="24"/>
        </w:rPr>
      </w:r>
    </w:p>
    <w:sectPr>
      <w:headerReference w:type="default" r:id="rId2"/>
      <w:footerReference w:type="default" r:id="rId3"/>
      <w:type w:val="nextPage"/>
      <w:pgSz w:w="11906" w:h="16838"/>
      <w:pgMar w:left="1134" w:right="1134" w:header="709" w:top="1951" w:footer="1134" w:bottom="1673"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spacing w:before="0" w:after="160"/>
      <w:jc w:val="right"/>
      <w:rPr/>
    </w:pPr>
    <w:r>
      <w:rPr/>
      <w:t>1/1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WWEncabezamiento"/>
      <w:spacing w:lineRule="auto" w:line="240"/>
      <w:jc w:val="right"/>
      <w:rPr>
        <w:rFonts w:eastAsia="Calibri" w:cs="Calibri"/>
      </w:rPr>
    </w:pPr>
    <w:r>
      <w:rPr>
        <w:rFonts w:eastAsia="Calibri" w:cs="Calibri"/>
      </w:rPr>
      <w:t xml:space="preserve">                                                                                                                          </w:t>
    </w:r>
  </w:p>
  <w:p>
    <w:pPr>
      <w:pStyle w:val="WWEncabezamiento"/>
      <w:spacing w:lineRule="auto" w:line="240"/>
      <w:jc w:val="right"/>
      <w:rPr>
        <w:i/>
      </w:rPr>
    </w:pPr>
    <w:r>
      <w:rPr/>
      <w:t xml:space="preserve">Grupo Municipal </w:t>
    </w:r>
    <w:r>
      <w:rPr>
        <w:i/>
      </w:rPr>
      <w:t>Ganemos Jerez</w:t>
      <w:drawing>
        <wp:anchor behindDoc="1" distT="0" distB="0" distL="114935" distR="114935" simplePos="0" locked="0" layoutInCell="1" allowOverlap="1" relativeHeight="1">
          <wp:simplePos x="0" y="0"/>
          <wp:positionH relativeFrom="column">
            <wp:posOffset>186690</wp:posOffset>
          </wp:positionH>
          <wp:positionV relativeFrom="paragraph">
            <wp:posOffset>9525</wp:posOffset>
          </wp:positionV>
          <wp:extent cx="2096770" cy="76581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770" cy="765810"/>
                  </a:xfrm>
                  <a:prstGeom prst="rect">
                    <a:avLst/>
                  </a:prstGeom>
                  <a:noFill/>
                  <a:ln w="9525">
                    <a:noFill/>
                    <a:miter lim="800000"/>
                    <a:headEnd/>
                    <a:tailEnd/>
                  </a:ln>
                </pic:spPr>
              </pic:pic>
            </a:graphicData>
          </a:graphic>
        </wp:anchor>
      </w:drawing>
    </w:r>
  </w:p>
  <w:p>
    <w:pPr>
      <w:pStyle w:val="WWEncabezamiento"/>
      <w:spacing w:lineRule="auto" w:line="240"/>
      <w:jc w:val="right"/>
      <w:rPr/>
    </w:pPr>
    <w:r>
      <w:rPr/>
      <w:tab/>
      <w:tab/>
      <w:t>Plaza de la Yerba, 1.</w:t>
    </w:r>
  </w:p>
  <w:p>
    <w:pPr>
      <w:pStyle w:val="WWEncabezamiento"/>
      <w:spacing w:lineRule="auto" w:line="240" w:before="0" w:after="200"/>
      <w:jc w:val="right"/>
      <w:rPr>
        <w:i/>
      </w:rPr>
    </w:pPr>
    <w:bookmarkStart w:id="0" w:name="__DdeLink__43_1898599939"/>
    <w:bookmarkStart w:id="1" w:name="__DdeLink__39_466564739"/>
    <w:bookmarkEnd w:id="0"/>
    <w:bookmarkEnd w:id="1"/>
    <w:r>
      <w:rPr>
        <w:i/>
      </w:rPr>
      <w:tab/>
      <w:tab/>
      <w:t>11.403-Jerez de la Frontera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s-ES" w:eastAsia="zh-CN" w:bidi="hi-IN"/>
      </w:rPr>
    </w:rPrDefault>
    <w:pPrDefault>
      <w:pPr/>
    </w:pPrDefault>
  </w:docDefaults>
  <w:style w:type="paragraph" w:styleId="Normal">
    <w:name w:val="Normal"/>
    <w:pPr>
      <w:widowControl/>
      <w:suppressAutoHyphens w:val="true"/>
      <w:overflowPunct w:val="false"/>
      <w:bidi w:val="0"/>
      <w:spacing w:lineRule="auto" w:line="256" w:before="0" w:after="160"/>
    </w:pPr>
    <w:rPr>
      <w:rFonts w:ascii="Calibri" w:hAnsi="Calibri" w:eastAsia="Droid Sans Fallback;Times New Roman" w:cs="Tahoma"/>
      <w:color w:val="00000A"/>
      <w:sz w:val="22"/>
      <w:szCs w:val="22"/>
      <w:lang w:val="es-ES" w:bidi="ar-SA" w:eastAsia="zh-CN"/>
    </w:rPr>
  </w:style>
  <w:style w:type="paragraph" w:styleId="Encabezado1">
    <w:name w:val="Encabezado 1"/>
    <w:basedOn w:val="Encabezamiento"/>
    <w:next w:val="Cuerpodetexto"/>
    <w:pPr>
      <w:keepNext/>
      <w:numPr>
        <w:ilvl w:val="0"/>
        <w:numId w:val="1"/>
      </w:numPr>
      <w:spacing w:lineRule="auto" w:line="256" w:before="240" w:after="120"/>
      <w:outlineLvl w:val="0"/>
      <w:outlineLvl w:val="0"/>
    </w:pPr>
    <w:rPr>
      <w:rFonts w:ascii="Liberation Sans;Arial" w:hAnsi="Liberation Sans;Arial" w:cs="FreeSans"/>
      <w:sz w:val="28"/>
      <w:szCs w:val="28"/>
    </w:rPr>
  </w:style>
  <w:style w:type="character" w:styleId="Fuentedeprrafopredeter">
    <w:name w:val="Fuente de párrafo predeter."/>
    <w:rPr/>
  </w:style>
  <w:style w:type="character" w:styleId="PiedepginaCar">
    <w:name w:val="Pie de página Car"/>
    <w:basedOn w:val="Fuentedeprrafopredeter"/>
    <w:rPr>
      <w:rFonts w:ascii="Calibri" w:hAnsi="Calibri" w:eastAsia="Droid Sans Fallback;Times New Roman" w:cs="Tahoma"/>
      <w:color w:val="00000A"/>
    </w:rPr>
  </w:style>
  <w:style w:type="character" w:styleId="EncabezadoCar">
    <w:name w:val="Encabezado Car"/>
    <w:basedOn w:val="Fuentedeprrafopredeter"/>
    <w:rPr>
      <w:rFonts w:ascii="Calibri" w:hAnsi="Calibri" w:eastAsia="Droid Sans Fallback;Times New Roman" w:cs="Tahoma"/>
      <w:color w:val="00000A"/>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name w:val="Encabezamiento"/>
    <w:basedOn w:val="Normal"/>
    <w:pPr>
      <w:tabs>
        <w:tab w:val="center" w:pos="4252" w:leader="none"/>
        <w:tab w:val="right" w:pos="8504" w:leader="none"/>
      </w:tabs>
      <w:spacing w:lineRule="auto" w:line="240" w:before="0" w:after="0"/>
    </w:pPr>
    <w:rPr/>
  </w:style>
  <w:style w:type="paragraph" w:styleId="WWEncabezamiento">
    <w:name w:val="WW-Encabezamiento"/>
    <w:basedOn w:val="Normal"/>
    <w:pPr/>
    <w:rPr/>
  </w:style>
  <w:style w:type="paragraph" w:styleId="Piedepgina">
    <w:name w:val="Pie de págin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2220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2017-03-14T13:10:00Z</dcterms:created>
  <dc:creator>José María Guerrero de los Ríos</dc:creator>
  <dc:language>es-ES</dc:language>
  <cp:lastModifiedBy>José María Guerrero de los Ríos</cp:lastModifiedBy>
  <cp:lastPrinted>2017-03-14T14:31:53Z</cp:lastPrinted>
  <dcterms:modified xsi:type="dcterms:W3CDTF">2017-03-14T14:26:00Z</dcterms:modified>
  <cp:revision>2</cp:revision>
</cp:coreProperties>
</file>