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uerpodetexto"/>
        <w:jc w:val="center"/>
        <w:rPr/>
      </w:pPr>
      <w:r>
        <w:rPr/>
      </w:r>
    </w:p>
    <w:p>
      <w:pPr>
        <w:pStyle w:val="Cuerpodetexto"/>
        <w:jc w:val="center"/>
        <w:rPr>
          <w:rFonts w:cs="Verdana" w:ascii="Verdana" w:hAnsi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AL PLENO DEL EXCMO. AYUNTAMIENTO DE JEREZ</w:t>
      </w:r>
    </w:p>
    <w:p>
      <w:pPr>
        <w:pStyle w:val="Cuerpodetexto"/>
        <w:jc w:val="left"/>
        <w:rPr>
          <w:rFonts w:cs="Verdana" w:ascii="Verdana" w:hAnsi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A/A Secretaría General</w:t>
      </w:r>
    </w:p>
    <w:p>
      <w:pPr>
        <w:pStyle w:val="Cuerpodetexto"/>
        <w:jc w:val="both"/>
        <w:rPr>
          <w:rFonts w:cs="Verdana" w:ascii="Verdana" w:hAnsi="Verdana"/>
          <w:b/>
          <w:bCs/>
          <w:i w:val="false"/>
          <w:iCs w:val="false"/>
          <w:sz w:val="20"/>
          <w:szCs w:val="20"/>
        </w:rPr>
      </w:pPr>
      <w:r>
        <w:rPr>
          <w:rFonts w:cs="Verdana" w:ascii="Verdana" w:hAnsi="Verdana"/>
          <w:b w:val="false"/>
          <w:bCs w:val="false"/>
          <w:sz w:val="20"/>
          <w:szCs w:val="20"/>
        </w:rPr>
        <w:t xml:space="preserve">D. Santiago Sánchez Muñoz, como Portavoz del Grupo Municipal </w:t>
      </w:r>
      <w:r>
        <w:rPr>
          <w:rFonts w:cs="Verdana" w:ascii="Verdana" w:hAnsi="Verdana"/>
          <w:b w:val="false"/>
          <w:bCs w:val="false"/>
          <w:i/>
          <w:iCs/>
          <w:sz w:val="20"/>
          <w:szCs w:val="20"/>
        </w:rPr>
        <w:t>GANEMOS JEREZ,</w:t>
      </w:r>
      <w:r>
        <w:rPr>
          <w:rFonts w:cs="Verdana" w:ascii="Verdana" w:hAnsi="Verdana"/>
          <w:b w:val="false"/>
          <w:bCs w:val="false"/>
          <w:i w:val="false"/>
          <w:iCs w:val="false"/>
          <w:sz w:val="20"/>
          <w:szCs w:val="20"/>
        </w:rPr>
        <w:t xml:space="preserve"> viene a formular para su aprobación en el próximo Pleno Ordinario, el siguiente: </w:t>
      </w:r>
      <w:r>
        <w:rPr>
          <w:rFonts w:cs="Verdana" w:ascii="Verdana" w:hAnsi="Verdana"/>
          <w:b/>
          <w:bCs/>
          <w:i w:val="false"/>
          <w:iCs w:val="false"/>
          <w:sz w:val="20"/>
          <w:szCs w:val="20"/>
        </w:rPr>
        <w:t xml:space="preserve"> RUEGO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Aunque existe regulación para determinar las condiciones y requisitos que deben cumplir los centros  y escuelas de educación infantil y las ludotecas, nos encontramos con que persiste la problemática de que muchas de las ludotecas de nuestra ciudad ejercen como centros de educación infantil sin reunir  los requisitos para ello y contribuyendo a una competencia desleal que incide de manera preocupante en la calidad del servicio y atención educativa que reciben los niños y niñas matriculados.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/>
        <w:t xml:space="preserve">Siendo el objetivo el asegurar el bienestar de los menores, no sólo porque el servicio de atención socioeducativa es una actividad reglada y debemos velar por el cumplimiento de la normativa vigente y ejercer con rigor las competencias de inspección y supervición de todos los centros , sino por el riesgo que supone que el cuidado de estos niños y niñas sea ejercido por personal no cualificado, realizamos  el siguiente </w:t>
      </w:r>
      <w:r>
        <w:rPr>
          <w:b/>
          <w:bCs/>
        </w:rPr>
        <w:t>RUEGO: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1- Que el ayuntamiento de esta ciudad , en el marco de sus competencias, lleve a cabo las acciones que procedan ,  debiendo informar al Servicio de Inspección Educativa, en pro del cumplimiento de dicha normativa.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2- Que el ayuntamiento de esta ciudad se haga eco y ponga en su conocimiento el documento titulado “Las recomendaciones a los Ayuntamientos andaluces respecto al control de los establecimientos de actividades recreativas de la tipología ludotecas  y su funcionamiento como guarderías infantiles encubiertas” elaboradas por la Dirección General de Interior, Emergencias y Protección Civil de la Consejería de Justicia e Interior de la Junta de Andalucía.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3- Que el Ayuntamiento de esta ciudad , en consecuencia , de la comunicación recibida por la Delegación Territorial competente,  realice las siguientes actuaciones: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Verificar que dichos centros tengan la autorización administrativa de funcionamiento , que concede la Consejería de Educación, Cultura y Deportes de la Junta de Andalucía  (Decreto 109/1992 de 9 de junio, modificada por el Decreto 140/2011, de 26 abril) y la correspondiente inscripción en el Registro de Centros de esta misma Consejería.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Que lleva a cabo las labores de inspección oportunas </w:t>
      </w:r>
      <w:r>
        <w:rPr/>
        <w:t xml:space="preserve">de </w:t>
      </w:r>
      <w:r>
        <w:rPr/>
        <w:t>los centros denunciados , así como, informar que el no cumplimiento de los requisitos expuestos será motivo de no ejercer la actividad educativa, ni tampoco publicitarla como tal.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Cs/>
        </w:rPr>
      </w:pPr>
      <w:r>
        <w:rPr>
          <w:i/>
          <w:iCs/>
        </w:rPr>
        <w:t>Normativa:</w:t>
      </w:r>
    </w:p>
    <w:p>
      <w:pPr>
        <w:pStyle w:val="Normal"/>
        <w:jc w:val="both"/>
        <w:rPr>
          <w:i/>
          <w:iCs/>
        </w:rPr>
      </w:pPr>
      <w:r>
        <w:rPr>
          <w:i/>
          <w:iCs/>
        </w:rPr>
        <w:t>“</w:t>
      </w:r>
      <w:r>
        <w:rPr>
          <w:i/>
          <w:iCs/>
        </w:rPr>
        <w:t>El Decreto 149/2009 de 12 de mayo de la Consejería de Educación regula los centros que imparten el primer ciclo de la educación infantil.</w:t>
      </w:r>
    </w:p>
    <w:p>
      <w:pPr>
        <w:pStyle w:val="Normal"/>
        <w:jc w:val="both"/>
        <w:rPr>
          <w:i/>
          <w:iCs/>
        </w:rPr>
      </w:pPr>
      <w:r>
        <w:rPr>
          <w:i/>
          <w:iCs/>
        </w:rPr>
        <w:t>El Decreto 94/2009 de 9 de junio del Departamento de Gobernación y Administraciones Públicas regula las ludotecas”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 w:val="false"/>
          <w:iCs w:val="false"/>
        </w:rPr>
      </w:pPr>
      <w:r>
        <w:rPr>
          <w:i w:val="false"/>
          <w:iCs w:val="false"/>
        </w:rPr>
        <w:t>Fdo.: Santiago Sánchez Muñoz.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97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t>2</w:t>
    </w:r>
    <w:r>
      <w:rPr/>
      <w:t>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1">
          <wp:simplePos x="0" y="0"/>
          <wp:positionH relativeFrom="column">
            <wp:posOffset>300990</wp:posOffset>
          </wp:positionH>
          <wp:positionV relativeFrom="paragraph">
            <wp:posOffset>4445</wp:posOffset>
          </wp:positionV>
          <wp:extent cx="2096135" cy="76517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cs="Calibri"/>
      </w:rPr>
    </w:pPr>
    <w:r>
      <w:rPr>
        <w:rFonts w:cs="Calibri"/>
      </w:rPr>
      <w:t xml:space="preserve">   </w:t>
    </w:r>
  </w:p>
  <w:p>
    <w:pPr>
      <w:pStyle w:val="Encabezamiento"/>
      <w:jc w:val="right"/>
      <w:rPr/>
    </w:pPr>
    <w:r>
      <w:rPr>
        <w:rFonts w:cs="Calibri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1238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2017-03-08T13:35:28Z</dcterms:created>
  <dc:creator>Ganemos Jerez</dc:creator>
  <dc:language>es-ES</dc:language>
  <cp:lastModifiedBy>Ganemos Jerez</cp:lastModifiedBy>
  <cp:lastPrinted>2017-03-09T12:47:50Z</cp:lastPrinted>
  <dcterms:modified xsi:type="dcterms:W3CDTF">2017-03-09T11:16:03Z</dcterms:modified>
  <cp:revision>4</cp:revision>
</cp:coreProperties>
</file>