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before="280" w:after="160"/>
        <w:ind w:left="0" w:right="-1" w:hanging="0"/>
        <w:jc w:val="both"/>
        <w:rPr>
          <w:rFonts w:ascii="Arial" w:hAnsi="Arial"/>
          <w:b/>
          <w:bCs/>
          <w:color w:val="000000"/>
          <w:sz w:val="20"/>
          <w:szCs w:val="20"/>
        </w:rPr>
      </w:pPr>
      <w:r>
        <w:rPr>
          <w:rFonts w:ascii="Arial" w:hAnsi="Arial"/>
          <w:b/>
          <w:bCs/>
          <w:color w:val="000000"/>
          <w:sz w:val="20"/>
          <w:szCs w:val="20"/>
        </w:rPr>
        <w:t>EXCMO. AYUNTAMIENTO DE JEREZ DE LA FRONTERA</w:t>
      </w:r>
    </w:p>
    <w:p>
      <w:pPr>
        <w:pStyle w:val="NormalWeb"/>
        <w:spacing w:before="280" w:after="160"/>
        <w:ind w:left="0" w:right="-1" w:hanging="0"/>
        <w:jc w:val="both"/>
        <w:rPr>
          <w:rFonts w:ascii="Arial" w:hAnsi="Arial"/>
          <w:b/>
          <w:bCs/>
          <w:color w:val="000000"/>
          <w:sz w:val="20"/>
          <w:szCs w:val="20"/>
        </w:rPr>
      </w:pPr>
      <w:r>
        <w:rPr>
          <w:rFonts w:ascii="Arial" w:hAnsi="Arial"/>
          <w:b/>
          <w:bCs/>
          <w:color w:val="000000"/>
          <w:sz w:val="20"/>
          <w:szCs w:val="20"/>
        </w:rPr>
        <w:t>A/A: SECRETARIA GENERAL</w:t>
      </w:r>
    </w:p>
    <w:p>
      <w:pPr>
        <w:pStyle w:val="NormalWeb"/>
        <w:spacing w:before="280" w:after="160"/>
        <w:ind w:left="0" w:right="-1" w:hanging="0"/>
        <w:jc w:val="both"/>
        <w:rPr>
          <w:rFonts w:cs="Abyssinica SIL" w:ascii="Arial" w:hAnsi="Arial"/>
          <w:b/>
          <w:bCs/>
          <w:i w:val="false"/>
          <w:iCs w:val="false"/>
          <w:color w:val="000000"/>
          <w:sz w:val="24"/>
          <w:szCs w:val="24"/>
        </w:rPr>
      </w:pPr>
      <w:r>
        <w:rPr>
          <w:rFonts w:cs="Abyssinica SIL" w:ascii="Arial" w:hAnsi="Arial"/>
          <w:bCs/>
          <w:i w:val="false"/>
          <w:iCs w:val="false"/>
          <w:color w:val="000000"/>
          <w:sz w:val="24"/>
          <w:szCs w:val="24"/>
        </w:rPr>
        <w:t xml:space="preserve">D. Santiago Sánchez Muñoz, como Portavoz del Grupo Municipal GANEMOS JEREZ, viene a formular para su aprobación en el próximo Pleno Ordinario, la siguiente </w:t>
      </w:r>
      <w:r>
        <w:rPr>
          <w:rFonts w:cs="Abyssinica SIL" w:ascii="Arial" w:hAnsi="Arial"/>
          <w:b/>
          <w:bCs/>
          <w:i w:val="false"/>
          <w:iCs w:val="false"/>
          <w:color w:val="000000"/>
          <w:sz w:val="24"/>
          <w:szCs w:val="24"/>
        </w:rPr>
        <w:t>Proposición:</w:t>
      </w:r>
    </w:p>
    <w:p>
      <w:pPr>
        <w:pStyle w:val="NormalWeb"/>
        <w:spacing w:before="280" w:after="160"/>
        <w:ind w:left="0" w:right="-1" w:hanging="0"/>
        <w:jc w:val="both"/>
        <w:rPr>
          <w:rFonts w:cs="Abyssinica SIL" w:ascii="Arial" w:hAnsi="Arial"/>
          <w:b/>
          <w:bCs/>
          <w:i w:val="false"/>
          <w:iCs w:val="false"/>
          <w:color w:val="000000"/>
          <w:sz w:val="24"/>
          <w:szCs w:val="24"/>
        </w:rPr>
      </w:pPr>
      <w:r>
        <w:rPr>
          <w:rFonts w:cs="Abyssinica SIL" w:ascii="Arial" w:hAnsi="Arial"/>
          <w:b/>
          <w:bCs/>
          <w:i w:val="false"/>
          <w:iCs w:val="false"/>
          <w:color w:val="000000"/>
          <w:sz w:val="24"/>
          <w:szCs w:val="24"/>
        </w:rPr>
        <w:t>EXPOSICIÓN DE MOTIVOS</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En el Derecho Comunitario, según la Resolución del Consejo de Europa (Resolución 6/60/1997, art.1), se considera Menor Extranjero No Acompañado (MENA) a todo persona menor de 18 años, nacional de país tercero, que llega al territorio de los Estados miembros sin ir acompañados de una persona  adulta responsable, ya sea legalmente o con arreglo a los usos y costumbres, en tanto en cuánto no esté efectivamente bajo el cuidado de una  persona adulta responsable.</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España ratificó en 1.990 los acuerdos de la Convención Internacional   sobre los Derechos del Niño de 1.989 que venía a ejemplarizar la Declaración de los Derechos del  Niño de 20 de noviembre de 1.959.</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A partir de los años noventa se constata el auge del colectivo MENA en nuestro país, y se comienza a plantear el fenómeno como una realidad que requiere una atención y un abordaje particular.</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 xml:space="preserve">Lo/as MENA suelen entrar en el territorio español de manera irregular y sin documentación. Cuando son detectado/as, lo/as MENA pasan a disposición de la Administración competente en materia de protección de menores, que son las Comunidades Autónomas. </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Estas competencias vienen recogidas en los artículos 61 y 62 de nuestro Estatuto de Autonomía. Pero, además, establece en el artículo 12 “son destinatarios de las políticas públicas andaluzas y titulares de todos los derechos del Estatuto toda persona con vecindad administrativa en Andalucía; el artículo 18 recoge la especial protección de la que son acreedores los menores de edad sin distinción y la primacía de su interés superior; y el artículo 37 prevé como principios rectores de las políticas públicas, en su apartado 8º, la integración de los jóvenes en la vida social y labora, favoreciendo su autonomía personal y en el apartado 9º, la integración laboral, económica, social y cultural de los inmigrantes.</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 xml:space="preserve">Al cumplir la mayoría de edad, esta población jóven dejan de vivir bajo el Sistema de Protección de la Junta de Andalucía, debiendo abandonar los centros de protección de menores. Pero, a pesar de adquirir la mayoría de edad legal, estos chicos y chicas necesitan aún apoyo y acompañamiento hasta completar sus posibilidades de vida autónoma. </w:t>
      </w:r>
    </w:p>
    <w:p>
      <w:pPr>
        <w:pStyle w:val="Normal"/>
        <w:ind w:left="0" w:right="0" w:firstLine="708"/>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Cuando se alcanza la mayoría de edad legal existen casos en los que la mayoría de estos y estas  jóvenes no tiene a su familia establecida en nuestro territorio y poseen escasa o nula formación para acceder a un empleo, ni fijo ni eventual, agravado, además,  por la dramática escasez de empleos en nuestro país en el contexto actual y por los requisitos que impone la Ley de Extranjería.</w:t>
      </w:r>
    </w:p>
    <w:p>
      <w:pPr>
        <w:pStyle w:val="Normal"/>
        <w:ind w:left="0" w:right="0" w:firstLine="708"/>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Debido a estas circunstancias, la Junta de Andalucía ha venido desarrollando el “Programa de Mayoría de Edad para jóvenes tutelados y tuteladas mayores de 18 años”, para atender las necesidades detectadas en este grupo de personas.</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Ya desde los propios centros de menores se llevan a cabo las acciones de orientación  para evitar el desamparo de estas personas. Estos programas de orientación y acompañamiento se desarrollan a través de entidades colaboradoras que participan en la formación y contratación de jóvenes, disminuyendo de este modo el riesgo de exclusión social de este colectivo.</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 xml:space="preserve">Dado que, por razones geográficas, nuestra Comunidad Autónoma es la que ha visto aumentar el número de personas en esa situación, lo que ha propiciado que no todo el colectivo  sea atendidos bajo ese Programa y se vean en la calle, en total estado de desprotección, el Gobierno de la Nación debe asegurar más medios para corregir estas deficiencias. </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El peligro para estos y estas jóvenes está en que, una vez fuera del sistema de protección, se encuentran en una situación de irregularidad y son más vulnerables a entrar en contacto con ambientes desfavorecidos: adicciones, delincuencia, etc. Sin embargo, diferentes estudios llevados a cabo, constatan que la intención de estos y estas jóvenes al iniciar su proyecto migratorio  no era delinquir y, en la mayoría de los casos, tampoco ejercían estas prácticas en sus países de origen.</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r>
    </w:p>
    <w:p>
      <w:pPr>
        <w:pStyle w:val="Normal"/>
        <w:jc w:val="both"/>
        <w:rPr>
          <w:rFonts w:cs="Abyssinica SIL" w:ascii="Arial" w:hAnsi="Arial"/>
          <w:b/>
          <w:bCs/>
          <w:i w:val="false"/>
          <w:iCs w:val="false"/>
          <w:color w:val="000000"/>
          <w:sz w:val="24"/>
          <w:szCs w:val="24"/>
        </w:rPr>
      </w:pPr>
      <w:r>
        <w:rPr>
          <w:rFonts w:cs="Abyssinica SIL" w:ascii="Arial" w:hAnsi="Arial"/>
          <w:i w:val="false"/>
          <w:iCs w:val="false"/>
          <w:color w:val="000000"/>
          <w:sz w:val="24"/>
          <w:szCs w:val="24"/>
        </w:rPr>
        <w:tab/>
        <w:t xml:space="preserve">Por todo ello, elevamos al Pleno Corporativo para su debate y aprobación, si procede, los siguientes </w:t>
      </w:r>
      <w:r>
        <w:rPr>
          <w:rFonts w:cs="Abyssinica SIL" w:ascii="Arial" w:hAnsi="Arial"/>
          <w:b/>
          <w:bCs/>
          <w:i w:val="false"/>
          <w:iCs w:val="false"/>
          <w:color w:val="000000"/>
          <w:sz w:val="24"/>
          <w:szCs w:val="24"/>
        </w:rPr>
        <w:t>ACUERDOS;</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ab/>
        <w:t>1º- Instar a que desde las Administraciones Públicas se tomen las medidas necesarias para corregir estas situaciones, ampliando las dotaciones de los Programas para los Menores ex tutelados, hasta los 25 años instando para ello al Gobierno de la Nación a que dote a nuestra Comunidad Autónoma de una mayor partida presupuestaria, dado el alto porcentaje de casos que se están produciendo.</w:t>
      </w:r>
    </w:p>
    <w:p>
      <w:pPr>
        <w:pStyle w:val="Yiv1903068686yiv28392009msonormal"/>
        <w:ind w:left="0" w:right="0" w:firstLine="708"/>
        <w:jc w:val="both"/>
        <w:rPr>
          <w:rFonts w:cs="Abyssinica SIL" w:ascii="Arial" w:hAnsi="Arial"/>
          <w:i w:val="false"/>
          <w:iCs w:val="false"/>
          <w:sz w:val="24"/>
          <w:szCs w:val="24"/>
        </w:rPr>
      </w:pPr>
      <w:r>
        <w:rPr>
          <w:rFonts w:cs="Abyssinica SIL" w:ascii="Arial" w:hAnsi="Arial"/>
          <w:i w:val="false"/>
          <w:iCs w:val="false"/>
          <w:color w:val="000000"/>
          <w:sz w:val="24"/>
          <w:szCs w:val="24"/>
        </w:rPr>
        <w:t>2ª.- Instar a la Junta de Andalucía a</w:t>
      </w:r>
      <w:r>
        <w:rPr>
          <w:rFonts w:cs="Abyssinica SIL" w:ascii="Arial" w:hAnsi="Arial"/>
          <w:i w:val="false"/>
          <w:iCs w:val="false"/>
          <w:sz w:val="24"/>
          <w:szCs w:val="24"/>
        </w:rPr>
        <w:t xml:space="preserve"> mejorar la comunicación y coordinación con el Servicio Protección de Menores de la Junta de Andalucía, y los Centros dependientes de la misma y  a consolidar y Fortalecer las relaciones con las distintas Administraciones.</w:t>
      </w:r>
    </w:p>
    <w:p>
      <w:pPr>
        <w:pStyle w:val="Yiv1903068686yiv28392009msonormal"/>
        <w:jc w:val="both"/>
        <w:rPr>
          <w:rFonts w:cs="Abyssinica SIL" w:ascii="Arial" w:hAnsi="Arial"/>
          <w:i w:val="false"/>
          <w:iCs w:val="false"/>
          <w:sz w:val="24"/>
          <w:szCs w:val="24"/>
        </w:rPr>
      </w:pPr>
      <w:r>
        <w:rPr>
          <w:rFonts w:cs="Abyssinica SIL" w:ascii="Arial" w:hAnsi="Arial"/>
          <w:i w:val="false"/>
          <w:iCs w:val="false"/>
          <w:sz w:val="24"/>
          <w:szCs w:val="24"/>
        </w:rPr>
        <w:t>3º Instar a la Junta de Andalucía a mantener la figura del mediador/a intercultural en las entidades que trabajen con el colectivo inmigrante, creándose  una red de agentes activos que trabajen en y para la Comunidad, paliando y previniendo los estereotipos negativos sobre la inmigración.</w:t>
      </w:r>
    </w:p>
    <w:p>
      <w:pPr>
        <w:pStyle w:val="Normal"/>
        <w:jc w:val="both"/>
        <w:rPr>
          <w:rFonts w:cs="Abyssinica SIL" w:ascii="Arial" w:hAnsi="Arial"/>
          <w:i w:val="false"/>
          <w:iCs w:val="false"/>
          <w:sz w:val="24"/>
          <w:szCs w:val="24"/>
        </w:rPr>
      </w:pPr>
      <w:r>
        <w:rPr>
          <w:rFonts w:cs="Abyssinica SIL" w:ascii="Arial" w:hAnsi="Arial"/>
          <w:i w:val="false"/>
          <w:iCs w:val="false"/>
          <w:sz w:val="24"/>
          <w:szCs w:val="24"/>
        </w:rPr>
        <w:t>4.- Instar a la Junta de Andalucía para concienciar e impulsar la necesidad de los recursos de emancipación, de encontrar un apoyo económico por parte de la Administración, para asegurar su continuidad y al mismo modo dar respuesta a toda la población  joven ex tutelada hasta los 25 años de edad.</w:t>
      </w:r>
    </w:p>
    <w:p>
      <w:pPr>
        <w:pStyle w:val="Normal"/>
        <w:widowControl w:val="false"/>
        <w:tabs>
          <w:tab w:val="left" w:pos="0" w:leader="none"/>
          <w:tab w:val="left" w:pos="220" w:leader="none"/>
        </w:tabs>
        <w:suppressAutoHyphens w:val="false"/>
        <w:autoSpaceDE w:val="false"/>
        <w:spacing w:lineRule="atLeast" w:line="360" w:before="0" w:after="320"/>
        <w:jc w:val="both"/>
        <w:rPr>
          <w:rFonts w:cs="Abyssinica SIL" w:ascii="Arial" w:hAnsi="Arial"/>
          <w:i w:val="false"/>
          <w:iCs w:val="false"/>
          <w:color w:val="000000"/>
          <w:sz w:val="24"/>
          <w:szCs w:val="24"/>
          <w:lang w:eastAsia="es-ES"/>
        </w:rPr>
      </w:pPr>
      <w:r>
        <w:rPr>
          <w:rFonts w:cs="Abyssinica SIL" w:ascii="Arial" w:hAnsi="Arial"/>
          <w:i w:val="false"/>
          <w:iCs w:val="false"/>
          <w:color w:val="000000"/>
          <w:sz w:val="24"/>
          <w:szCs w:val="24"/>
          <w:lang w:eastAsia="es-ES"/>
        </w:rPr>
        <w:t>5.- Instar a la Junta de Andalucía a que los programas de preparación para la vida independiente vayan destinados tanto al colectivo de menores con medida de protección como a las personas jóvenes procedentes del sistema de protección de la Junta de Andalucía entre los 18 y 25 años. Para ello se requerirá el compromiso expreso de la persona beneficiaria, a fin de lograr el aprovechamiento de los recursos, incluyendo alternativas de vivienda para aquellas personas jóvenes que carezcan de ellas.  </w:t>
      </w:r>
    </w:p>
    <w:p>
      <w:pPr>
        <w:pStyle w:val="Normal"/>
        <w:widowControl w:val="false"/>
        <w:tabs>
          <w:tab w:val="left" w:pos="220" w:leader="none"/>
          <w:tab w:val="left" w:pos="720" w:leader="none"/>
        </w:tabs>
        <w:suppressAutoHyphens w:val="false"/>
        <w:autoSpaceDE w:val="false"/>
        <w:spacing w:lineRule="atLeast" w:line="360" w:before="0" w:after="320"/>
        <w:jc w:val="both"/>
        <w:rPr>
          <w:rFonts w:cs="Abyssinica SIL" w:ascii="Arial" w:hAnsi="Arial"/>
          <w:i w:val="false"/>
          <w:iCs w:val="false"/>
          <w:color w:val="000000"/>
          <w:sz w:val="24"/>
          <w:szCs w:val="24"/>
          <w:lang w:eastAsia="es-ES"/>
        </w:rPr>
      </w:pPr>
      <w:r>
        <w:rPr>
          <w:rFonts w:cs="Abyssinica SIL" w:ascii="Arial" w:hAnsi="Arial"/>
          <w:i w:val="false"/>
          <w:iCs w:val="false"/>
          <w:color w:val="000000"/>
          <w:sz w:val="24"/>
          <w:szCs w:val="24"/>
          <w:lang w:eastAsia="es-ES"/>
        </w:rPr>
        <w:t xml:space="preserve">6.- </w:t>
      </w:r>
      <w:r>
        <w:rPr>
          <w:rFonts w:cs="Abyssinica SIL" w:ascii="Arial" w:hAnsi="Arial"/>
          <w:i w:val="false"/>
          <w:iCs w:val="false"/>
          <w:color w:val="000000"/>
          <w:sz w:val="24"/>
          <w:szCs w:val="24"/>
        </w:rPr>
        <w:t xml:space="preserve">Instar a </w:t>
      </w:r>
      <w:r>
        <w:rPr>
          <w:rFonts w:cs="Abyssinica SIL" w:ascii="Arial" w:hAnsi="Arial"/>
          <w:i w:val="false"/>
          <w:iCs w:val="false"/>
          <w:color w:val="000000"/>
          <w:sz w:val="24"/>
          <w:szCs w:val="24"/>
          <w:lang w:eastAsia="es-ES"/>
        </w:rPr>
        <w:t xml:space="preserve">la Administración de la Junta de Andalucía  y al Gobierno de España para que favorezca  la inserción de las personas  jóvenes tuteladas en el mercado laboral, solicitando la modificación de la Ley de Extranjería , de manera que facilite a las empresas contrataciones sin limitaciones ni exigencias mínimas en torno a la temporalidad ni a cualquier otro requisito, equiparándolo a la normativa laboral para personas de nacionalidad española, así como promoviendo  la concesión de beneficios fiscales a las empresas que les contraten y se arbitren medidas de apoyo social y prestaciones económicas para jóvenes del sistema de protección una vez alcanzada la mayoría de edad, hasta los veinticinco años. </w:t>
      </w:r>
    </w:p>
    <w:p>
      <w:pPr>
        <w:pStyle w:val="Textoindependiente2"/>
        <w:jc w:val="both"/>
        <w:rPr>
          <w:rFonts w:cs="Abyssinica SIL" w:ascii="Arial" w:hAnsi="Arial"/>
          <w:b w:val="false"/>
          <w:i w:val="false"/>
          <w:iCs w:val="false"/>
          <w:sz w:val="24"/>
          <w:szCs w:val="24"/>
          <w:u w:val="none"/>
        </w:rPr>
      </w:pPr>
      <w:r>
        <w:rPr>
          <w:rFonts w:cs="Abyssinica SIL" w:ascii="Arial" w:hAnsi="Arial"/>
          <w:b w:val="false"/>
          <w:i w:val="false"/>
          <w:iCs w:val="false"/>
          <w:color w:val="000000"/>
          <w:sz w:val="24"/>
          <w:szCs w:val="24"/>
          <w:u w:val="none"/>
        </w:rPr>
        <w:t xml:space="preserve">7º.- Instar a la Junta de Andalucía a </w:t>
      </w:r>
      <w:r>
        <w:rPr>
          <w:rFonts w:cs="Abyssinica SIL" w:ascii="Arial" w:hAnsi="Arial"/>
          <w:b w:val="false"/>
          <w:i w:val="false"/>
          <w:iCs w:val="false"/>
          <w:sz w:val="24"/>
          <w:szCs w:val="24"/>
          <w:u w:val="none"/>
        </w:rPr>
        <w:t>que  lleguen a acuerdos con las Universidades Andaluzas y/o Centros de Formación Profesional, a fin de facilitar la educación y formación de  jóvenes que han sido objeto de protección por la Junta de Andalucía, garantizándoles el acceso a becas y ayudas económicas.</w:t>
      </w:r>
    </w:p>
    <w:p>
      <w:pPr>
        <w:pStyle w:val="Textoindependiente2"/>
        <w:jc w:val="both"/>
        <w:rPr>
          <w:rFonts w:cs="Abyssinica SIL" w:ascii="Arial" w:hAnsi="Arial"/>
          <w:b w:val="false"/>
          <w:i w:val="false"/>
          <w:iCs w:val="false"/>
          <w:sz w:val="24"/>
          <w:szCs w:val="24"/>
          <w:u w:val="none"/>
        </w:rPr>
      </w:pPr>
      <w:r>
        <w:rPr>
          <w:rFonts w:cs="Abyssinica SIL" w:ascii="Arial" w:hAnsi="Arial"/>
          <w:b w:val="false"/>
          <w:i w:val="false"/>
          <w:iCs w:val="false"/>
          <w:sz w:val="24"/>
          <w:szCs w:val="24"/>
          <w:u w:val="none"/>
        </w:rPr>
        <w:t>8º Instar a la Junta de Andalucía para que en la prevista modificación de la Ley de Infancia y Adolescencia de Andalucía  contemple la inclusión de las personas jóvenes procedentes del sistema de protección, que aun habiendo alcanzado la mayoría de edad sean beneficiadas con medidas de acogimiento temporal y/ o permanente , y /o con el apoyo familias colaboradoras hasta los 25 años de edad, de manera que favorezca la continuidad de su formación académica o en su defecto la inserción social plena,</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9º-Dar traslado de la presente moción a la Consejería de Igualdad y Políticas Sociales de la Junta de Andalucía.</w:t>
      </w:r>
    </w:p>
    <w:p>
      <w:pPr>
        <w:pStyle w:val="Normal"/>
        <w:jc w:val="both"/>
        <w:rPr>
          <w:rFonts w:cs="Abyssinica SIL" w:ascii="Arial" w:hAnsi="Arial"/>
          <w:i w:val="false"/>
          <w:iCs w:val="false"/>
          <w:color w:val="000000"/>
          <w:sz w:val="24"/>
          <w:szCs w:val="24"/>
        </w:rPr>
      </w:pPr>
      <w:r>
        <w:rPr>
          <w:rFonts w:cs="Abyssinica SIL" w:ascii="Arial" w:hAnsi="Arial"/>
          <w:i w:val="false"/>
          <w:iCs w:val="false"/>
          <w:color w:val="000000"/>
          <w:sz w:val="24"/>
          <w:szCs w:val="24"/>
        </w:rPr>
        <w:t>10º-Dar traslado al Ministerio de Sanidad, Servicios Sociales e Igualdad.</w:t>
      </w:r>
    </w:p>
    <w:p>
      <w:pPr>
        <w:pStyle w:val="Normal"/>
        <w:spacing w:before="280" w:after="160"/>
        <w:ind w:left="0" w:right="-1" w:hanging="0"/>
        <w:jc w:val="both"/>
        <w:rPr>
          <w:rFonts w:ascii="Arial" w:hAnsi="Arial"/>
        </w:rPr>
      </w:pPr>
      <w:r>
        <w:rPr>
          <w:rFonts w:ascii="Arial" w:hAnsi="Arial"/>
        </w:rPr>
      </w:r>
    </w:p>
    <w:p>
      <w:pPr>
        <w:pStyle w:val="Normal"/>
        <w:spacing w:before="280" w:after="160"/>
        <w:ind w:left="0" w:right="-1" w:hanging="0"/>
        <w:jc w:val="both"/>
        <w:rPr>
          <w:rFonts w:cs="Abyssinica SIL" w:ascii="Arial" w:hAnsi="Arial"/>
          <w:bCs/>
          <w:i w:val="false"/>
          <w:iCs w:val="false"/>
          <w:color w:val="000000"/>
          <w:sz w:val="24"/>
          <w:szCs w:val="24"/>
        </w:rPr>
      </w:pPr>
      <w:r>
        <w:rPr>
          <w:rFonts w:cs="Abyssinica SIL" w:ascii="Arial" w:hAnsi="Arial"/>
          <w:bCs/>
          <w:i w:val="false"/>
          <w:iCs w:val="false"/>
          <w:color w:val="000000"/>
          <w:sz w:val="24"/>
          <w:szCs w:val="24"/>
        </w:rPr>
        <w:t>En Jerez de la Frontera a 11 de Julio de 2017.</w:t>
      </w:r>
    </w:p>
    <w:p>
      <w:pPr>
        <w:pStyle w:val="NormalWeb"/>
        <w:spacing w:before="280" w:after="160"/>
        <w:ind w:left="0" w:right="-1" w:hanging="0"/>
        <w:jc w:val="both"/>
        <w:rPr>
          <w:rFonts w:cs="Abyssinica SIL" w:ascii="Arial" w:hAnsi="Arial"/>
          <w:b/>
          <w:bCs/>
          <w:i w:val="false"/>
          <w:iCs w:val="false"/>
          <w:color w:val="000000"/>
          <w:sz w:val="24"/>
          <w:szCs w:val="24"/>
        </w:rPr>
      </w:pPr>
      <w:r>
        <w:rPr>
          <w:rFonts w:cs="Abyssinica SIL" w:ascii="Arial" w:hAnsi="Arial"/>
          <w:b/>
          <w:bCs/>
          <w:i w:val="false"/>
          <w:iCs w:val="false"/>
          <w:color w:val="000000"/>
          <w:sz w:val="24"/>
          <w:szCs w:val="24"/>
        </w:rPr>
      </w:r>
    </w:p>
    <w:p>
      <w:pPr>
        <w:pStyle w:val="NormalWeb"/>
        <w:spacing w:before="280" w:after="160"/>
        <w:ind w:left="0" w:right="-1" w:hanging="0"/>
        <w:jc w:val="both"/>
        <w:rPr>
          <w:rFonts w:cs="Abyssinica SIL" w:ascii="Arial" w:hAnsi="Arial"/>
          <w:b/>
          <w:bCs/>
          <w:i w:val="false"/>
          <w:iCs w:val="false"/>
          <w:color w:val="000000"/>
          <w:sz w:val="24"/>
          <w:szCs w:val="24"/>
        </w:rPr>
      </w:pPr>
      <w:r>
        <w:rPr>
          <w:rFonts w:cs="Abyssinica SIL" w:ascii="Arial" w:hAnsi="Arial"/>
          <w:b/>
          <w:bCs/>
          <w:i w:val="false"/>
          <w:iCs w:val="false"/>
          <w:color w:val="000000"/>
          <w:sz w:val="24"/>
          <w:szCs w:val="24"/>
        </w:rPr>
      </w:r>
    </w:p>
    <w:p>
      <w:pPr>
        <w:pStyle w:val="NormalWeb"/>
        <w:spacing w:before="280" w:after="160"/>
        <w:ind w:left="0" w:right="-1" w:hanging="0"/>
        <w:jc w:val="both"/>
        <w:rPr>
          <w:rFonts w:cs="Abyssinica SIL" w:ascii="Arial" w:hAnsi="Arial"/>
          <w:b/>
          <w:bCs/>
          <w:i w:val="false"/>
          <w:iCs w:val="false"/>
          <w:color w:val="000000"/>
          <w:sz w:val="24"/>
          <w:szCs w:val="24"/>
        </w:rPr>
      </w:pPr>
      <w:r>
        <w:rPr>
          <w:rFonts w:cs="Abyssinica SIL" w:ascii="Arial" w:hAnsi="Arial"/>
          <w:b/>
          <w:bCs/>
          <w:i w:val="false"/>
          <w:iCs w:val="false"/>
          <w:color w:val="000000"/>
          <w:sz w:val="24"/>
          <w:szCs w:val="24"/>
        </w:rPr>
      </w:r>
    </w:p>
    <w:p>
      <w:pPr>
        <w:pStyle w:val="Normal"/>
        <w:spacing w:before="280" w:after="160"/>
        <w:ind w:left="0" w:right="-1" w:hanging="0"/>
        <w:jc w:val="both"/>
        <w:rPr>
          <w:rFonts w:cs="Arial" w:ascii="Arial" w:hAnsi="Arial"/>
          <w:b/>
          <w:bCs/>
          <w:i w:val="false"/>
          <w:iCs w:val="false"/>
          <w:color w:val="000000"/>
          <w:sz w:val="24"/>
          <w:szCs w:val="24"/>
        </w:rPr>
      </w:pPr>
      <w:r>
        <w:rPr>
          <w:rFonts w:cs="Abyssinica SIL" w:ascii="Arial" w:hAnsi="Arial"/>
          <w:b/>
          <w:bCs/>
          <w:i w:val="false"/>
          <w:iCs w:val="false"/>
          <w:color w:val="000000"/>
          <w:sz w:val="24"/>
          <w:szCs w:val="24"/>
        </w:rPr>
        <w:t>Fdo.: Santiago Sánchez Muñoz</w:t>
      </w:r>
      <w:r>
        <w:rPr>
          <w:rFonts w:cs="Arial" w:ascii="Arial" w:hAnsi="Arial"/>
          <w:b/>
          <w:bCs/>
          <w:i w:val="false"/>
          <w:iCs w:val="false"/>
          <w:color w:val="000000"/>
          <w:sz w:val="24"/>
          <w:szCs w:val="24"/>
        </w:rPr>
        <w:tab/>
      </w:r>
    </w:p>
    <w:sectPr>
      <w:headerReference w:type="default" r:id="rId2"/>
      <w:footerReference w:type="default" r:id="rId3"/>
      <w:type w:val="nextPage"/>
      <w:pgSz w:w="11906" w:h="16838"/>
      <w:pgMar w:left="1701" w:right="1701" w:header="1417" w:top="2818" w:footer="1417" w:bottom="195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NewsGotT">
    <w:altName w:val="Times New Roman"/>
    <w:charset w:val="00"/>
    <w:family w:val="auto"/>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spacing w:before="0" w:after="160"/>
      <w:jc w:val="right"/>
      <w:rPr/>
    </w:pPr>
    <w:r>
      <w:rPr/>
      <w:fldChar w:fldCharType="begin"/>
    </w:r>
    <w:r>
      <w:instrText> PAGE </w:instrText>
    </w:r>
    <w:r>
      <w:fldChar w:fldCharType="separate"/>
    </w:r>
    <w:r>
      <w:t>4</w:t>
    </w:r>
    <w:r>
      <w:fldChar w:fldCharType="end"/>
    </w:r>
    <w:r>
      <w:rPr/>
      <w:t>/</w:t>
    </w:r>
    <w: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WWEncabezamiento"/>
      <w:jc w:val="right"/>
      <w:rPr>
        <w:i/>
      </w:rPr>
    </w:pPr>
    <w:r>
      <w:rPr/>
      <w:t xml:space="preserve">Grupo Municipal </w:t>
    </w:r>
    <w:r>
      <w:rPr>
        <w:i/>
      </w:rPr>
      <w:t>Ganemos Jerez</w:t>
      <w:drawing>
        <wp:anchor behindDoc="1" distT="0" distB="0" distL="114935" distR="114935" simplePos="0" locked="0" layoutInCell="1" allowOverlap="1" relativeHeight="3">
          <wp:simplePos x="0" y="0"/>
          <wp:positionH relativeFrom="column">
            <wp:posOffset>34290</wp:posOffset>
          </wp:positionH>
          <wp:positionV relativeFrom="paragraph">
            <wp:posOffset>-71755</wp:posOffset>
          </wp:positionV>
          <wp:extent cx="2096135" cy="76517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6135" cy="765175"/>
                  </a:xfrm>
                  <a:prstGeom prst="rect">
                    <a:avLst/>
                  </a:prstGeom>
                  <a:noFill/>
                  <a:ln w="9525">
                    <a:noFill/>
                    <a:miter lim="800000"/>
                    <a:headEnd/>
                    <a:tailEnd/>
                  </a:ln>
                </pic:spPr>
              </pic:pic>
            </a:graphicData>
          </a:graphic>
        </wp:anchor>
      </w:drawing>
    </w:r>
  </w:p>
  <w:p>
    <w:pPr>
      <w:pStyle w:val="WWEncabezamiento"/>
      <w:jc w:val="right"/>
      <w:rPr>
        <w:rFonts w:eastAsia="Times New Roman" w:cs="Times New Roman"/>
      </w:rPr>
    </w:pPr>
    <w:r>
      <w:rPr>
        <w:rFonts w:eastAsia="Times New Roman" w:cs="Times New Roman"/>
      </w:rPr>
      <w:t xml:space="preserve">   </w:t>
    </w:r>
    <w:r>
      <w:rPr>
        <w:rFonts w:eastAsia="Times New Roman" w:cs="Times New Roman"/>
      </w:rPr>
      <w:t>Plaza de la Yerba,3. Planta Baja.</w:t>
    </w:r>
  </w:p>
  <w:p>
    <w:pPr>
      <w:pStyle w:val="WWEncabezamiento"/>
      <w:spacing w:before="0" w:after="160"/>
      <w:jc w:val="right"/>
      <w:rPr/>
    </w:pPr>
    <w:r>
      <w:rPr>
        <w:rFonts w:eastAsia="Times New Roman" w:cs="Times New Roman"/>
      </w:rPr>
      <w:t xml:space="preserve">                                </w:t>
    </w:r>
    <w:r>
      <w:rPr/>
      <w:t>11.403-Jerez de la Frontera</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es-ES" w:eastAsia="en-US" w:bidi="ar-SA"/>
      </w:rPr>
    </w:rPrDefault>
    <w:pPrDefault>
      <w:pPr>
        <w:spacing w:lineRule="auto" w:line="252"/>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2" w:before="0" w:after="160"/>
      <w:jc w:val="left"/>
    </w:pPr>
    <w:rPr>
      <w:rFonts w:ascii="Calibri" w:hAnsi="Calibri" w:eastAsia="Droid Sans Fallback" w:cs="Calibri"/>
      <w:color w:val="00000A"/>
      <w:sz w:val="22"/>
      <w:szCs w:val="22"/>
      <w:lang w:val="es-ES" w:eastAsia="en-US" w:bidi="ar-SA"/>
    </w:rPr>
  </w:style>
  <w:style w:type="character" w:styleId="DefaultParagraphFont" w:default="1">
    <w:name w:val="Default Paragraph Font"/>
    <w:uiPriority w:val="1"/>
    <w:semiHidden/>
    <w:unhideWhenUsed/>
    <w:rPr/>
  </w:style>
  <w:style w:type="character" w:styleId="EnlacedeInternet" w:customStyle="1">
    <w:name w:val="Enlace de Internet"/>
    <w:uiPriority w:val="99"/>
    <w:semiHidden/>
    <w:unhideWhenUsed/>
    <w:rsid w:val="00732427"/>
    <w:basedOn w:val="DefaultParagraphFont"/>
    <w:rPr>
      <w:color w:val="0000FF"/>
      <w:u w:val="single"/>
      <w:lang w:val="zxx" w:eastAsia="zxx" w:bidi="zxx"/>
    </w:rPr>
  </w:style>
  <w:style w:type="character" w:styleId="ListLabel1" w:customStyle="1">
    <w:name w:val="ListLabel 1"/>
    <w:rPr>
      <w:sz w:val="20"/>
    </w:rPr>
  </w:style>
  <w:style w:type="character" w:styleId="ListLabel2" w:customStyle="1">
    <w:name w:val="ListLabel 2"/>
    <w:rPr>
      <w:sz w:val="20"/>
    </w:rPr>
  </w:style>
  <w:style w:type="character" w:styleId="ListLabel3" w:customStyle="1">
    <w:name w:val="ListLabel 3"/>
    <w:rPr>
      <w:rFonts w:cs="Courier New"/>
      <w:sz w:val="20"/>
    </w:rPr>
  </w:style>
  <w:style w:type="character" w:styleId="ListLabel4" w:customStyle="1">
    <w:name w:val="ListLabel 4"/>
    <w:rPr>
      <w:rFonts w:cs="Wingdings"/>
      <w:sz w:val="20"/>
    </w:rPr>
  </w:style>
  <w:style w:type="character" w:styleId="ListLabel5">
    <w:name w:val="ListLabel 5"/>
    <w:rPr>
      <w:sz w:val="20"/>
    </w:rPr>
  </w:style>
  <w:style w:type="character" w:styleId="ListLabel6">
    <w:name w:val="ListLabel 6"/>
    <w:rPr>
      <w:rFonts w:cs="Courier New"/>
      <w:sz w:val="20"/>
    </w:rPr>
  </w:style>
  <w:style w:type="character" w:styleId="ListLabel7">
    <w:name w:val="ListLabel 7"/>
    <w:rPr>
      <w:rFonts w:cs="Wingdings"/>
      <w:sz w:val="20"/>
    </w:rPr>
  </w:style>
  <w:style w:type="character" w:styleId="ListLabel8">
    <w:name w:val="ListLabel 8"/>
    <w:rPr>
      <w:rFonts w:cs="Courier New"/>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4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customStyle="1">
    <w:name w:val="Encabezamiento"/>
    <w:basedOn w:val="Normal"/>
    <w:pPr>
      <w:keepNext/>
      <w:spacing w:before="240" w:after="120"/>
    </w:pPr>
    <w:rPr>
      <w:rFonts w:ascii="Liberation Sans" w:hAnsi="Liberation Sans" w:cs="FreeSans"/>
      <w:sz w:val="28"/>
      <w:szCs w:val="28"/>
    </w:rPr>
  </w:style>
  <w:style w:type="paragraph" w:styleId="NormalWeb">
    <w:name w:val="Normal (Web)"/>
    <w:uiPriority w:val="99"/>
    <w:unhideWhenUsed/>
    <w:rsid w:val="00732427"/>
    <w:basedOn w:val="Normal"/>
    <w:pPr>
      <w:spacing w:before="0" w:after="280"/>
    </w:pPr>
    <w:rPr>
      <w:rFonts w:ascii="Times New Roman" w:hAnsi="Times New Roman" w:eastAsia="Times New Roman" w:cs="Times New Roman"/>
      <w:sz w:val="24"/>
      <w:szCs w:val="24"/>
      <w:lang w:eastAsia="es-ES"/>
    </w:rPr>
  </w:style>
  <w:style w:type="paragraph" w:styleId="WWEncabezamiento" w:customStyle="1">
    <w:name w:val="WW-Encabezamiento"/>
    <w:basedOn w:val="Normal"/>
    <w:pPr>
      <w:suppressLineNumbers/>
    </w:pPr>
    <w:rPr/>
  </w:style>
  <w:style w:type="paragraph" w:styleId="Piedepgina">
    <w:name w:val="Pie de página"/>
    <w:basedOn w:val="Normal"/>
    <w:pPr/>
    <w:rPr/>
  </w:style>
  <w:style w:type="paragraph" w:styleId="Yiv1903068686yiv28392009msonormal">
    <w:name w:val="yiv1903068686yiv28392009msonormal"/>
    <w:basedOn w:val="Normal"/>
    <w:pPr>
      <w:suppressAutoHyphens w:val="false"/>
      <w:spacing w:before="280" w:after="280"/>
    </w:pPr>
    <w:rPr>
      <w:rFonts w:eastAsia="Calibri"/>
      <w:lang w:val="es-ES"/>
    </w:rPr>
  </w:style>
  <w:style w:type="paragraph" w:styleId="Textoindependiente2">
    <w:name w:val="Texto independiente 2"/>
    <w:basedOn w:val="Normal"/>
    <w:pPr>
      <w:widowControl w:val="false"/>
      <w:jc w:val="both"/>
    </w:pPr>
    <w:rPr>
      <w:rFonts w:ascii="NewsGotT;Times New Roman" w:hAnsi="NewsGotT;Times New Roman" w:cs="NewsGotT;Times New Roman"/>
      <w:b/>
      <w:sz w:val="22"/>
      <w:szCs w:val="20"/>
      <w:u w:val="single"/>
      <w:lang w:val="es-E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2017-06-13T18:47:00Z</dcterms:created>
  <dc:creator>Full name</dc:creator>
  <dc:language>es-ES</dc:language>
  <cp:lastModifiedBy>Usuario</cp:lastModifiedBy>
  <cp:lastPrinted>2017-07-10T11:49:18Z</cp:lastPrinted>
  <dcterms:modified xsi:type="dcterms:W3CDTF">2017-06-13T18:47:00Z</dcterms:modified>
  <cp:revision>2</cp:revision>
</cp:coreProperties>
</file>