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280" w:after="160"/>
        <w:jc w:val="center"/>
        <w:rPr>
          <w:rFonts w:eastAsia="Verdana" w:cs="Arial" w:ascii="Arial" w:hAnsi="Arial"/>
          <w:b/>
          <w:sz w:val="22"/>
          <w:szCs w:val="22"/>
        </w:rPr>
      </w:pPr>
      <w:r>
        <w:rPr>
          <w:rFonts w:eastAsia="Verdana" w:cs="Arial" w:ascii="Arial" w:hAnsi="Arial"/>
          <w:b/>
          <w:sz w:val="22"/>
          <w:szCs w:val="22"/>
        </w:rPr>
        <w:t>EXCMO. AYUNTAMIENTO DE JEREZ DE LA FRONTERA</w:t>
      </w:r>
    </w:p>
    <w:p>
      <w:pPr>
        <w:pStyle w:val="Normal"/>
        <w:spacing w:before="280" w:after="160"/>
        <w:jc w:val="both"/>
        <w:rPr>
          <w:rFonts w:eastAsia="Verdana" w:cs="Arial" w:ascii="Arial" w:hAnsi="Arial"/>
          <w:b/>
          <w:sz w:val="22"/>
          <w:szCs w:val="22"/>
        </w:rPr>
      </w:pPr>
      <w:r>
        <w:rPr>
          <w:rFonts w:eastAsia="Verdana" w:cs="Arial" w:ascii="Arial" w:hAnsi="Arial"/>
          <w:b/>
          <w:sz w:val="22"/>
          <w:szCs w:val="22"/>
        </w:rPr>
        <w:t>A/A: SECRETARIA GENERAL</w:t>
      </w:r>
    </w:p>
    <w:p>
      <w:pPr>
        <w:pStyle w:val="Normal"/>
        <w:spacing w:before="280" w:after="0"/>
        <w:jc w:val="both"/>
        <w:rPr>
          <w:rFonts w:eastAsia="Verdana" w:cs="Arial" w:ascii="Arial" w:hAnsi="Arial"/>
          <w:sz w:val="22"/>
          <w:szCs w:val="22"/>
        </w:rPr>
      </w:pPr>
      <w:r>
        <w:rPr>
          <w:rFonts w:eastAsia="Verdana" w:cs="Arial" w:ascii="Arial" w:hAnsi="Arial"/>
          <w:sz w:val="22"/>
          <w:szCs w:val="22"/>
        </w:rPr>
        <w:t>D. Santiago Sánchez Muñoz, como Portavoz del Grupo Municipal GANEMOS JEREZ, viene a formular para su aprobación en el próximo Pleno Ordinario, la siguiente:</w:t>
      </w:r>
    </w:p>
    <w:p>
      <w:pPr>
        <w:pStyle w:val="NormalWeb"/>
        <w:spacing w:before="280" w:after="0"/>
        <w:jc w:val="center"/>
        <w:rPr/>
      </w:pPr>
      <w:r>
        <w:rPr/>
      </w:r>
    </w:p>
    <w:p>
      <w:pPr>
        <w:pStyle w:val="NormalWeb"/>
        <w:spacing w:before="280" w:after="0"/>
        <w:jc w:val="center"/>
        <w:rPr>
          <w:rFonts w:cs="Verdana" w:ascii="Verdana" w:hAnsi="Verdana"/>
          <w:b/>
          <w:bCs/>
          <w:i/>
          <w:iCs/>
          <w:sz w:val="18"/>
          <w:szCs w:val="18"/>
        </w:rPr>
      </w:pPr>
      <w:r>
        <w:rPr>
          <w:rFonts w:cs="Verdana" w:ascii="Verdana" w:hAnsi="Verdana"/>
          <w:b/>
          <w:bCs/>
          <w:i/>
          <w:iCs/>
          <w:sz w:val="18"/>
          <w:szCs w:val="18"/>
        </w:rPr>
        <w:t>PROPOSICIÓN RELATIVA A LA PARTICIPACIÓN CIUDADANA Y LA TRANSPARENCIA EN LA ITI DE CÁDIZ.</w:t>
      </w:r>
    </w:p>
    <w:p>
      <w:pPr>
        <w:pStyle w:val="NormalWeb"/>
        <w:spacing w:before="280" w:after="0"/>
        <w:jc w:val="center"/>
        <w:rPr>
          <w:rFonts w:cs="Verdana" w:ascii="Verdana" w:hAnsi="Verdana"/>
          <w:b/>
          <w:bCs/>
          <w:sz w:val="18"/>
          <w:szCs w:val="18"/>
        </w:rPr>
      </w:pPr>
      <w:r>
        <w:rPr>
          <w:rFonts w:cs="Verdana" w:ascii="Verdana" w:hAnsi="Verdana"/>
          <w:b/>
          <w:bCs/>
          <w:sz w:val="18"/>
          <w:szCs w:val="18"/>
        </w:rPr>
        <w:t>EXPOSICIÓN DE MOTIVOS</w:t>
      </w:r>
    </w:p>
    <w:p>
      <w:pPr>
        <w:pStyle w:val="NormalWeb"/>
        <w:jc w:val="both"/>
        <w:rPr>
          <w:rFonts w:cs="Verdana" w:ascii="Verdana" w:hAnsi="Verdana"/>
          <w:bCs/>
          <w:sz w:val="18"/>
          <w:szCs w:val="18"/>
        </w:rPr>
      </w:pPr>
      <w:r>
        <w:rPr>
          <w:rFonts w:cs="Verdana" w:ascii="Verdana" w:hAnsi="Verdana"/>
          <w:bCs/>
          <w:sz w:val="18"/>
          <w:szCs w:val="18"/>
        </w:rPr>
        <w:t xml:space="preserve">Han transcurrido más de dos años desde el pistoletazo de salida de la ejecución de la ITI en la provincia. Y conforme avanza el tiempo, surgen cada vez más voces que cuestionan el </w:t>
      </w:r>
      <w:r>
        <w:rPr>
          <w:rFonts w:cs="Verdana" w:ascii="Verdana" w:hAnsi="Verdana"/>
          <w:bCs/>
          <w:i/>
          <w:sz w:val="18"/>
          <w:szCs w:val="18"/>
        </w:rPr>
        <w:t>modus operandi</w:t>
      </w:r>
      <w:r>
        <w:rPr>
          <w:rFonts w:cs="Verdana" w:ascii="Verdana" w:hAnsi="Verdana"/>
          <w:bCs/>
          <w:sz w:val="18"/>
          <w:szCs w:val="18"/>
        </w:rPr>
        <w:t xml:space="preserve"> de la Junta de Andalucía en relación a la participación y la transparencia de la ejecución de esta herramienta. No se entiende cómo una cifra de inversión que asciende a más de 1.200 millones de euros no cuenten a día de hoy con un portal de transparencia minimamente decente, y mucho menos como no se ha articulado hasta la fecha la participación pública de la ciudadanía como tal, cuando un alto porcentaje del dinero procede de fondos europeos y la participación ciudadana es un elemento esencial en la ejecución de dichos fondos.</w:t>
      </w:r>
    </w:p>
    <w:p>
      <w:pPr>
        <w:pStyle w:val="NormalWeb"/>
        <w:jc w:val="both"/>
        <w:rPr>
          <w:rFonts w:cs="Verdana" w:ascii="Verdana" w:hAnsi="Verdana"/>
          <w:bCs/>
          <w:sz w:val="18"/>
          <w:szCs w:val="18"/>
        </w:rPr>
      </w:pPr>
      <w:r>
        <w:rPr>
          <w:rFonts w:cs="Verdana" w:ascii="Verdana" w:hAnsi="Verdana"/>
          <w:bCs/>
          <w:sz w:val="18"/>
          <w:szCs w:val="18"/>
        </w:rPr>
        <w:t xml:space="preserve">En particular, en el caso de la Junta de Andalucía, ya desde la aprobación del Decreto que desarrolla los Procedimientos de Gobernanza, Transparencia y Participación Institucional de la Iniciativa Territorial Integrada 2014-2020 para la Provincia de Cádiz se venía advirtiendo de la falta de articulación de la participación ciudadana. La primera consideración que hace la Dirección General de Planificación y Evaluación de la propia Junta (Consejería de Hacienda) es la </w:t>
      </w:r>
      <w:r>
        <w:rPr>
          <w:rFonts w:cs="Verdana" w:ascii="Verdana" w:hAnsi="Verdana"/>
          <w:b/>
          <w:bCs/>
          <w:sz w:val="18"/>
          <w:szCs w:val="18"/>
        </w:rPr>
        <w:t>incoherencia entre el título del decreto</w:t>
      </w:r>
      <w:r>
        <w:rPr>
          <w:rFonts w:cs="Verdana" w:ascii="Verdana" w:hAnsi="Verdana"/>
          <w:bCs/>
          <w:sz w:val="18"/>
          <w:szCs w:val="18"/>
        </w:rPr>
        <w:t xml:space="preserve"> (gobernanza, transparencia y participación) </w:t>
      </w:r>
      <w:r>
        <w:rPr>
          <w:rFonts w:cs="Verdana" w:ascii="Verdana" w:hAnsi="Verdana"/>
          <w:b/>
          <w:bCs/>
          <w:sz w:val="18"/>
          <w:szCs w:val="18"/>
        </w:rPr>
        <w:t>y el contenido del mismo</w:t>
      </w:r>
      <w:r>
        <w:rPr>
          <w:rFonts w:cs="Verdana" w:ascii="Verdana" w:hAnsi="Verdana"/>
          <w:bCs/>
          <w:sz w:val="18"/>
          <w:szCs w:val="18"/>
        </w:rPr>
        <w:t xml:space="preserve"> (articular únicamente las Comisiones de Participación y de Planificación).</w:t>
      </w:r>
    </w:p>
    <w:p>
      <w:pPr>
        <w:pStyle w:val="NormalWeb"/>
        <w:jc w:val="both"/>
        <w:rPr>
          <w:rFonts w:cs="Verdana" w:ascii="Verdana" w:hAnsi="Verdana"/>
          <w:bCs/>
          <w:sz w:val="18"/>
          <w:szCs w:val="18"/>
        </w:rPr>
      </w:pPr>
      <w:r>
        <w:rPr>
          <w:rFonts w:cs="Verdana" w:ascii="Verdana" w:hAnsi="Verdana"/>
          <w:bCs/>
          <w:sz w:val="18"/>
          <w:szCs w:val="18"/>
        </w:rPr>
        <w:t xml:space="preserve">Asimismo, en la citada tramitación del proyecto de decreto de Gobernanza, Transparencia y Participación de la ITI se advierte en un Informe emitido desde la propia Secretaría General Técnica de la Consejería de Economía sobre la </w:t>
      </w:r>
      <w:r>
        <w:rPr>
          <w:rFonts w:cs="Verdana" w:ascii="Verdana" w:hAnsi="Verdana"/>
          <w:b/>
          <w:bCs/>
          <w:sz w:val="18"/>
          <w:szCs w:val="18"/>
        </w:rPr>
        <w:t>falta de articulación de procedimientos</w:t>
      </w:r>
      <w:r>
        <w:rPr>
          <w:rFonts w:cs="Verdana" w:ascii="Verdana" w:hAnsi="Verdana"/>
          <w:bCs/>
          <w:sz w:val="18"/>
          <w:szCs w:val="18"/>
        </w:rPr>
        <w:t xml:space="preserve"> para la aprobación de los proyectos y actuaciones vinculados a la ITI; así como la no disposición de los ámbitos materiales sobre los que deberán versar esos proyectos. Y sobre todo se destaca en el citado informe la </w:t>
      </w:r>
      <w:r>
        <w:rPr>
          <w:rFonts w:cs="Verdana" w:ascii="Verdana" w:hAnsi="Verdana"/>
          <w:b/>
          <w:bCs/>
          <w:sz w:val="18"/>
          <w:szCs w:val="18"/>
        </w:rPr>
        <w:t>ausencia de un modelo de participación o intervención de la ciudadanía</w:t>
      </w:r>
      <w:r>
        <w:rPr>
          <w:rFonts w:cs="Verdana" w:ascii="Verdana" w:hAnsi="Verdana"/>
          <w:bCs/>
          <w:sz w:val="18"/>
          <w:szCs w:val="18"/>
        </w:rPr>
        <w:t xml:space="preserve"> en la elaboración, ejecución y puesta en marcha de los proyectos.</w:t>
      </w:r>
    </w:p>
    <w:p>
      <w:pPr>
        <w:pStyle w:val="NormalWeb"/>
        <w:jc w:val="both"/>
        <w:rPr>
          <w:rFonts w:cs="Verdana" w:ascii="Verdana" w:hAnsi="Verdana"/>
          <w:bCs/>
          <w:sz w:val="18"/>
          <w:szCs w:val="18"/>
        </w:rPr>
      </w:pPr>
      <w:r>
        <w:rPr>
          <w:rFonts w:cs="Verdana" w:ascii="Verdana" w:hAnsi="Verdana"/>
          <w:bCs/>
          <w:sz w:val="18"/>
          <w:szCs w:val="18"/>
        </w:rPr>
        <w:t>El resultado de todo lo anterior es que a fecha de hoy es prácticamente imposible que un ciudadano o una ciudadana de la provincia pueda acceder a saber como se están ejecutando y decidiendo los proyectos vinculados a la ITI, cuales son los criterios territoriales por los que se decide un proyecto u otro, como puede realizar una propuesta o idea, o tan siquiera consultar un acta de las Comisiones Provinciales que supuestamente deciden el donde, el cuando y el como.</w:t>
      </w:r>
    </w:p>
    <w:p>
      <w:pPr>
        <w:pStyle w:val="NormalWeb"/>
        <w:jc w:val="both"/>
        <w:rPr>
          <w:rFonts w:cs="Verdana" w:ascii="Verdana" w:hAnsi="Verdana"/>
          <w:bCs/>
          <w:sz w:val="18"/>
          <w:szCs w:val="18"/>
        </w:rPr>
      </w:pPr>
      <w:r>
        <w:rPr>
          <w:rFonts w:cs="Verdana" w:ascii="Verdana" w:hAnsi="Verdana"/>
          <w:bCs/>
          <w:sz w:val="18"/>
          <w:szCs w:val="18"/>
        </w:rPr>
        <w:t xml:space="preserve">Desde </w:t>
      </w:r>
      <w:r>
        <w:rPr>
          <w:rFonts w:cs="Verdana" w:ascii="Verdana" w:hAnsi="Verdana"/>
          <w:bCs/>
          <w:sz w:val="18"/>
          <w:szCs w:val="18"/>
        </w:rPr>
        <w:t>el grupo proponente consideramos</w:t>
      </w:r>
      <w:r>
        <w:rPr>
          <w:rFonts w:cs="Verdana" w:ascii="Verdana" w:hAnsi="Verdana"/>
          <w:bCs/>
          <w:sz w:val="18"/>
          <w:szCs w:val="18"/>
        </w:rPr>
        <w:t xml:space="preserve"> que ya ha pasado el tiempo suficiente para que la Junta de Andalucía estableciese fórmulas efectivas de participación ciudadana y una transparencia real y no figurativa. Y en consecuencia advertimos de la necesidad de trasladar desde este plenario una demanda de transparencia de unas importantísimas inversiones para el conjunto de municipios de la provincia.</w:t>
      </w:r>
    </w:p>
    <w:p>
      <w:pPr>
        <w:pStyle w:val="NormalWeb"/>
        <w:jc w:val="both"/>
        <w:rPr>
          <w:rFonts w:cs="Verdana" w:ascii="Verdana" w:hAnsi="Verdana"/>
          <w:bCs/>
          <w:sz w:val="18"/>
          <w:szCs w:val="18"/>
        </w:rPr>
      </w:pPr>
      <w:r>
        <w:rPr>
          <w:rFonts w:cs="Verdana" w:ascii="Verdana" w:hAnsi="Verdana"/>
          <w:bCs/>
          <w:sz w:val="18"/>
          <w:szCs w:val="18"/>
        </w:rPr>
      </w:r>
    </w:p>
    <w:p>
      <w:pPr>
        <w:pStyle w:val="NormalWeb"/>
        <w:jc w:val="both"/>
        <w:rPr>
          <w:rFonts w:cs="Verdana" w:ascii="Verdana" w:hAnsi="Verdana"/>
          <w:b/>
          <w:bCs/>
          <w:sz w:val="20"/>
          <w:szCs w:val="20"/>
        </w:rPr>
      </w:pPr>
      <w:r>
        <w:rPr>
          <w:rFonts w:cs="Verdana" w:ascii="Verdana" w:hAnsi="Verdana"/>
          <w:b/>
          <w:bCs/>
          <w:sz w:val="20"/>
          <w:szCs w:val="20"/>
        </w:rPr>
        <w:t>Acuerdos de Pleno</w:t>
      </w:r>
    </w:p>
    <w:p>
      <w:pPr>
        <w:pStyle w:val="NormalWeb"/>
        <w:numPr>
          <w:ilvl w:val="0"/>
          <w:numId w:val="1"/>
        </w:numPr>
        <w:jc w:val="both"/>
        <w:rPr>
          <w:rFonts w:cs="Verdana" w:ascii="Verdana" w:hAnsi="Verdana"/>
          <w:b/>
          <w:bCs/>
          <w:sz w:val="18"/>
          <w:szCs w:val="18"/>
        </w:rPr>
      </w:pPr>
      <w:r>
        <w:rPr>
          <w:rFonts w:cs="Verdana" w:ascii="Verdana" w:hAnsi="Verdana"/>
          <w:b/>
          <w:bCs/>
          <w:sz w:val="18"/>
          <w:szCs w:val="18"/>
        </w:rPr>
        <w:t xml:space="preserve">Instar a la Consejería de Economía y Conocimiento de la Junta de Andalucía al establecimiento y aprobación de un Procedimiento de Participación ciudadana en la puesta en marcha de proyectos y actuaciones de la ITI de la provincia de Cádiz. </w:t>
      </w:r>
    </w:p>
    <w:p>
      <w:pPr>
        <w:pStyle w:val="NormalWeb"/>
        <w:numPr>
          <w:ilvl w:val="0"/>
          <w:numId w:val="1"/>
        </w:numPr>
        <w:jc w:val="both"/>
        <w:rPr>
          <w:rFonts w:cs="Verdana" w:ascii="Verdana" w:hAnsi="Verdana"/>
          <w:b/>
          <w:bCs/>
          <w:sz w:val="18"/>
          <w:szCs w:val="18"/>
        </w:rPr>
      </w:pPr>
      <w:r>
        <w:rPr>
          <w:rFonts w:cs="Verdana" w:ascii="Verdana" w:hAnsi="Verdana"/>
          <w:b/>
          <w:bCs/>
          <w:sz w:val="18"/>
          <w:szCs w:val="18"/>
        </w:rPr>
        <w:t>Instar al Consejo de Gobierno de la Junta de Andalucía a la puesta en marcha de un Portal de Transparencia de la ejecución de la ITI de la Provincia de Cádiz, y que el mismo cumpla plenamente el actual marco normativo en la materia.</w:t>
      </w:r>
    </w:p>
    <w:p>
      <w:pPr>
        <w:pStyle w:val="NormalWeb"/>
        <w:numPr>
          <w:ilvl w:val="0"/>
          <w:numId w:val="1"/>
        </w:numPr>
        <w:jc w:val="both"/>
        <w:rPr>
          <w:rFonts w:cs="Verdana" w:ascii="Verdana" w:hAnsi="Verdana"/>
          <w:b/>
          <w:bCs/>
          <w:sz w:val="18"/>
          <w:szCs w:val="18"/>
        </w:rPr>
      </w:pPr>
      <w:r>
        <w:rPr>
          <w:rFonts w:cs="Verdana" w:ascii="Verdana" w:hAnsi="Verdana"/>
          <w:b/>
          <w:bCs/>
          <w:sz w:val="18"/>
          <w:szCs w:val="18"/>
        </w:rPr>
        <w:t>Instar al Ministerio de Hacienda y Función Pública del Gobierno de España a colaborar en la articulación y cumplimiento de los acuerdos anteriores.</w:t>
      </w:r>
    </w:p>
    <w:p>
      <w:pPr>
        <w:pStyle w:val="NormalWeb"/>
        <w:jc w:val="both"/>
        <w:rPr>
          <w:b w:val="false"/>
          <w:bCs w:val="false"/>
        </w:rPr>
      </w:pPr>
      <w:r>
        <w:rPr>
          <w:b w:val="false"/>
          <w:bCs w:val="false"/>
        </w:rPr>
        <w:t>Jerez, 10 de Octubre de 2017.</w:t>
      </w:r>
    </w:p>
    <w:p>
      <w:pPr>
        <w:pStyle w:val="NormalWeb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Web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Web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Web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Web"/>
        <w:jc w:val="both"/>
        <w:rPr>
          <w:b w:val="false"/>
          <w:bCs w:val="false"/>
        </w:rPr>
      </w:pPr>
      <w:r>
        <w:rPr>
          <w:b w:val="false"/>
          <w:bCs w:val="false"/>
        </w:rPr>
        <w:t>Fdo.: Santiago Sánchez Muñoz.</w:t>
      </w:r>
    </w:p>
    <w:p>
      <w:pPr>
        <w:pStyle w:val="NormalWeb"/>
        <w:spacing w:before="280" w:after="119"/>
        <w:jc w:val="both"/>
        <w:rPr>
          <w:b w:val="false"/>
          <w:bCs w:val="false"/>
        </w:rPr>
      </w:pPr>
      <w:r>
        <w:rPr>
          <w:b w:val="false"/>
          <w:bCs w:val="false"/>
        </w:rPr>
        <w:t>(Portavoz del Grupo Municipal Ganemos Jerez)</w: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2371" w:footer="1258" w:bottom="1817" w:gutter="0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edepgin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/>
      <w:t>/</w:t>
    </w:r>
    <w:r>
      <w:rPr/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jc w:val="right"/>
      <w:rPr>
        <w:i/>
      </w:rPr>
    </w:pPr>
    <w:r>
      <w:rPr/>
      <w:t xml:space="preserve">Grupo Municipal </w:t>
    </w:r>
    <w:r>
      <w:rPr>
        <w:i/>
      </w:rPr>
      <w:t>Ganemos Jerez</w:t>
      <w:drawing>
        <wp:anchor behindDoc="1" distT="114300" distB="114300" distL="114300" distR="114300" simplePos="0" locked="0" layoutInCell="1" allowOverlap="1" relativeHeight="1">
          <wp:simplePos x="0" y="0"/>
          <wp:positionH relativeFrom="column">
            <wp:posOffset>142875</wp:posOffset>
          </wp:positionH>
          <wp:positionV relativeFrom="paragraph">
            <wp:posOffset>-219710</wp:posOffset>
          </wp:positionV>
          <wp:extent cx="2619375" cy="876300"/>
          <wp:effectExtent l="0" t="0" r="0" b="0"/>
          <wp:wrapSquare wrapText="bothSides"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Normal"/>
      <w:jc w:val="right"/>
      <w:rPr/>
    </w:pPr>
    <w:r>
      <w:rPr/>
    </w:r>
  </w:p>
  <w:p>
    <w:pPr>
      <w:pStyle w:val="Normal"/>
      <w:jc w:val="right"/>
      <w:rPr/>
    </w:pPr>
    <w:r>
      <w:rPr/>
      <w:t>Plaza de la Yerba, 3. Planta baja.</w:t>
    </w:r>
  </w:p>
  <w:p>
    <w:pPr>
      <w:pStyle w:val="Normal"/>
      <w:jc w:val="right"/>
      <w:rPr/>
    </w:pPr>
    <w:r>
      <w:rPr/>
    </w:r>
  </w:p>
  <w:p>
    <w:pPr>
      <w:pStyle w:val="Normal"/>
      <w:jc w:val="right"/>
      <w:rPr/>
    </w:pPr>
    <w:r>
      <w:rPr/>
      <w:t>11.403-Jerez de la Frontera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s-ES" w:eastAsia="zh-CN" w:bidi="ar-SA"/>
    </w:rPr>
  </w:style>
  <w:style w:type="paragraph" w:styleId="Encabezado4">
    <w:name w:val="Encabezado 4"/>
    <w:basedOn w:val="Normal"/>
    <w:pPr>
      <w:spacing w:before="28" w:after="28"/>
      <w:outlineLvl w:val="3"/>
    </w:pPr>
    <w:rPr>
      <w:b/>
      <w:bCs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2z0">
    <w:name w:val="WW8Num2z0"/>
    <w:rPr>
      <w:rFonts w:ascii="Helvetica" w:hAnsi="Helvetica" w:cs="Helvetica"/>
    </w:rPr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WW8Num3z0">
    <w:name w:val="WW8Num3z0"/>
    <w:rPr>
      <w:rFonts w:ascii="Calibri" w:hAnsi="Calibri" w:eastAsia="Calibri" w:cs="Times New Roman"/>
      <w:lang w:val="en-US"/>
    </w:rPr>
  </w:style>
  <w:style w:type="character" w:styleId="WW8Num3z1">
    <w:name w:val="WW8Num3z1"/>
    <w:rPr>
      <w:rFonts w:ascii="Courier New" w:hAnsi="Courier New" w:cs="Courier New"/>
    </w:rPr>
  </w:style>
  <w:style w:type="character" w:styleId="WW8Num3z2">
    <w:name w:val="WW8Num3z2"/>
    <w:rPr>
      <w:rFonts w:ascii="Wingdings" w:hAnsi="Wingdings" w:cs="Wingdings"/>
    </w:rPr>
  </w:style>
  <w:style w:type="character" w:styleId="WW8Num3z3">
    <w:name w:val="WW8Num3z3"/>
    <w:rPr>
      <w:rFonts w:ascii="Symbol" w:hAnsi="Symbol" w:cs="Symbol"/>
    </w:rPr>
  </w:style>
  <w:style w:type="character" w:styleId="WW8Num3z4">
    <w:name w:val="WW8Num3z4"/>
    <w:rPr/>
  </w:style>
  <w:style w:type="character" w:styleId="WW8Num3z5">
    <w:name w:val="WW8Num3z5"/>
    <w:rPr/>
  </w:style>
  <w:style w:type="character" w:styleId="WW8Num3z6">
    <w:name w:val="WW8Num3z6"/>
    <w:rPr/>
  </w:style>
  <w:style w:type="character" w:styleId="WW8Num3z7">
    <w:name w:val="WW8Num3z7"/>
    <w:rPr/>
  </w:style>
  <w:style w:type="character" w:styleId="WW8Num3z8">
    <w:name w:val="WW8Num3z8"/>
    <w:rPr/>
  </w:style>
  <w:style w:type="character" w:styleId="WW8Num4z0">
    <w:name w:val="WW8Num4z0"/>
    <w:rPr/>
  </w:style>
  <w:style w:type="character" w:styleId="WW8Num4z1">
    <w:name w:val="WW8Num4z1"/>
    <w:rPr/>
  </w:style>
  <w:style w:type="character" w:styleId="WW8Num4z2">
    <w:name w:val="WW8Num4z2"/>
    <w:rPr/>
  </w:style>
  <w:style w:type="character" w:styleId="WW8Num4z3">
    <w:name w:val="WW8Num4z3"/>
    <w:rPr/>
  </w:style>
  <w:style w:type="character" w:styleId="WW8Num4z4">
    <w:name w:val="WW8Num4z4"/>
    <w:rPr/>
  </w:style>
  <w:style w:type="character" w:styleId="WW8Num4z5">
    <w:name w:val="WW8Num4z5"/>
    <w:rPr/>
  </w:style>
  <w:style w:type="character" w:styleId="WW8Num4z6">
    <w:name w:val="WW8Num4z6"/>
    <w:rPr/>
  </w:style>
  <w:style w:type="character" w:styleId="WW8Num4z7">
    <w:name w:val="WW8Num4z7"/>
    <w:rPr/>
  </w:style>
  <w:style w:type="character" w:styleId="WW8Num4z8">
    <w:name w:val="WW8Num4z8"/>
    <w:rPr/>
  </w:style>
  <w:style w:type="character" w:styleId="Fuentedeprrafopredeter">
    <w:name w:val="Fuente de párrafo predeter."/>
    <w:rPr/>
  </w:style>
  <w:style w:type="character" w:styleId="WW8Num5z0">
    <w:name w:val="WW8Num5z0"/>
    <w:rPr/>
  </w:style>
  <w:style w:type="character" w:styleId="WW8Num5z1">
    <w:name w:val="WW8Num5z1"/>
    <w:rPr/>
  </w:style>
  <w:style w:type="character" w:styleId="WW8Num5z2">
    <w:name w:val="WW8Num5z2"/>
    <w:rPr/>
  </w:style>
  <w:style w:type="character" w:styleId="WW8Num5z3">
    <w:name w:val="WW8Num5z3"/>
    <w:rPr/>
  </w:style>
  <w:style w:type="character" w:styleId="WW8Num5z4">
    <w:name w:val="WW8Num5z4"/>
    <w:rPr/>
  </w:style>
  <w:style w:type="character" w:styleId="WW8Num5z5">
    <w:name w:val="WW8Num5z5"/>
    <w:rPr/>
  </w:style>
  <w:style w:type="character" w:styleId="WW8Num5z6">
    <w:name w:val="WW8Num5z6"/>
    <w:rPr/>
  </w:style>
  <w:style w:type="character" w:styleId="WW8Num5z7">
    <w:name w:val="WW8Num5z7"/>
    <w:rPr/>
  </w:style>
  <w:style w:type="character" w:styleId="WW8Num5z8">
    <w:name w:val="WW8Num5z8"/>
    <w:rPr/>
  </w:style>
  <w:style w:type="character" w:styleId="WW8Num6z0">
    <w:name w:val="WW8Num6z0"/>
    <w:rPr/>
  </w:style>
  <w:style w:type="character" w:styleId="WW8Num6z1">
    <w:name w:val="WW8Num6z1"/>
    <w:rPr/>
  </w:style>
  <w:style w:type="character" w:styleId="WW8Num6z2">
    <w:name w:val="WW8Num6z2"/>
    <w:rPr/>
  </w:style>
  <w:style w:type="character" w:styleId="WW8Num6z3">
    <w:name w:val="WW8Num6z3"/>
    <w:rPr/>
  </w:style>
  <w:style w:type="character" w:styleId="WW8Num6z4">
    <w:name w:val="WW8Num6z4"/>
    <w:rPr/>
  </w:style>
  <w:style w:type="character" w:styleId="WW8Num6z5">
    <w:name w:val="WW8Num6z5"/>
    <w:rPr/>
  </w:style>
  <w:style w:type="character" w:styleId="WW8Num6z6">
    <w:name w:val="WW8Num6z6"/>
    <w:rPr/>
  </w:style>
  <w:style w:type="character" w:styleId="WW8Num6z7">
    <w:name w:val="WW8Num6z7"/>
    <w:rPr/>
  </w:style>
  <w:style w:type="character" w:styleId="WW8Num6z8">
    <w:name w:val="WW8Num6z8"/>
    <w:rPr/>
  </w:style>
  <w:style w:type="character" w:styleId="WW8Num7z0">
    <w:name w:val="WW8Num7z0"/>
    <w:rPr/>
  </w:style>
  <w:style w:type="character" w:styleId="WW8Num7z1">
    <w:name w:val="WW8Num7z1"/>
    <w:rPr/>
  </w:style>
  <w:style w:type="character" w:styleId="WW8Num7z2">
    <w:name w:val="WW8Num7z2"/>
    <w:rPr/>
  </w:style>
  <w:style w:type="character" w:styleId="WW8Num7z3">
    <w:name w:val="WW8Num7z3"/>
    <w:rPr/>
  </w:style>
  <w:style w:type="character" w:styleId="WW8Num7z4">
    <w:name w:val="WW8Num7z4"/>
    <w:rPr/>
  </w:style>
  <w:style w:type="character" w:styleId="WW8Num7z5">
    <w:name w:val="WW8Num7z5"/>
    <w:rPr/>
  </w:style>
  <w:style w:type="character" w:styleId="WW8Num7z6">
    <w:name w:val="WW8Num7z6"/>
    <w:rPr/>
  </w:style>
  <w:style w:type="character" w:styleId="WW8Num7z7">
    <w:name w:val="WW8Num7z7"/>
    <w:rPr/>
  </w:style>
  <w:style w:type="character" w:styleId="WW8Num7z8">
    <w:name w:val="WW8Num7z8"/>
    <w:rPr/>
  </w:style>
  <w:style w:type="character" w:styleId="WW8Num8z0">
    <w:name w:val="WW8Num8z0"/>
    <w:rPr/>
  </w:style>
  <w:style w:type="character" w:styleId="WW8Num8z1">
    <w:name w:val="WW8Num8z1"/>
    <w:rPr/>
  </w:style>
  <w:style w:type="character" w:styleId="WW8Num8z2">
    <w:name w:val="WW8Num8z2"/>
    <w:rPr/>
  </w:style>
  <w:style w:type="character" w:styleId="WW8Num8z3">
    <w:name w:val="WW8Num8z3"/>
    <w:rPr/>
  </w:style>
  <w:style w:type="character" w:styleId="WW8Num8z4">
    <w:name w:val="WW8Num8z4"/>
    <w:rPr/>
  </w:style>
  <w:style w:type="character" w:styleId="WW8Num8z5">
    <w:name w:val="WW8Num8z5"/>
    <w:rPr/>
  </w:style>
  <w:style w:type="character" w:styleId="WW8Num8z6">
    <w:name w:val="WW8Num8z6"/>
    <w:rPr/>
  </w:style>
  <w:style w:type="character" w:styleId="WW8Num8z7">
    <w:name w:val="WW8Num8z7"/>
    <w:rPr/>
  </w:style>
  <w:style w:type="character" w:styleId="WW8Num8z8">
    <w:name w:val="WW8Num8z8"/>
    <w:rPr/>
  </w:style>
  <w:style w:type="character" w:styleId="WW8Num9z0">
    <w:name w:val="WW8Num9z0"/>
    <w:rPr/>
  </w:style>
  <w:style w:type="character" w:styleId="WW8Num9z1">
    <w:name w:val="WW8Num9z1"/>
    <w:rPr/>
  </w:style>
  <w:style w:type="character" w:styleId="WW8Num9z2">
    <w:name w:val="WW8Num9z2"/>
    <w:rPr/>
  </w:style>
  <w:style w:type="character" w:styleId="WW8Num9z3">
    <w:name w:val="WW8Num9z3"/>
    <w:rPr/>
  </w:style>
  <w:style w:type="character" w:styleId="WW8Num9z4">
    <w:name w:val="WW8Num9z4"/>
    <w:rPr/>
  </w:style>
  <w:style w:type="character" w:styleId="WW8Num9z5">
    <w:name w:val="WW8Num9z5"/>
    <w:rPr/>
  </w:style>
  <w:style w:type="character" w:styleId="WW8Num9z6">
    <w:name w:val="WW8Num9z6"/>
    <w:rPr/>
  </w:style>
  <w:style w:type="character" w:styleId="WW8Num9z7">
    <w:name w:val="WW8Num9z7"/>
    <w:rPr/>
  </w:style>
  <w:style w:type="character" w:styleId="WW8Num9z8">
    <w:name w:val="WW8Num9z8"/>
    <w:rPr/>
  </w:style>
  <w:style w:type="character" w:styleId="WW8Num10z0">
    <w:name w:val="WW8Num10z0"/>
    <w:rPr/>
  </w:style>
  <w:style w:type="character" w:styleId="WW8Num10z1">
    <w:name w:val="WW8Num10z1"/>
    <w:rPr/>
  </w:style>
  <w:style w:type="character" w:styleId="WW8Num10z2">
    <w:name w:val="WW8Num10z2"/>
    <w:rPr/>
  </w:style>
  <w:style w:type="character" w:styleId="WW8Num10z3">
    <w:name w:val="WW8Num10z3"/>
    <w:rPr/>
  </w:style>
  <w:style w:type="character" w:styleId="WW8Num10z4">
    <w:name w:val="WW8Num10z4"/>
    <w:rPr/>
  </w:style>
  <w:style w:type="character" w:styleId="WW8Num10z5">
    <w:name w:val="WW8Num10z5"/>
    <w:rPr/>
  </w:style>
  <w:style w:type="character" w:styleId="WW8Num10z6">
    <w:name w:val="WW8Num10z6"/>
    <w:rPr/>
  </w:style>
  <w:style w:type="character" w:styleId="WW8Num10z7">
    <w:name w:val="WW8Num10z7"/>
    <w:rPr/>
  </w:style>
  <w:style w:type="character" w:styleId="WW8Num10z8">
    <w:name w:val="WW8Num10z8"/>
    <w:rPr/>
  </w:style>
  <w:style w:type="character" w:styleId="WW8Num11z0">
    <w:name w:val="WW8Num11z0"/>
    <w:rPr/>
  </w:style>
  <w:style w:type="character" w:styleId="WW8Num11z1">
    <w:name w:val="WW8Num11z1"/>
    <w:rPr/>
  </w:style>
  <w:style w:type="character" w:styleId="WW8Num11z2">
    <w:name w:val="WW8Num11z2"/>
    <w:rPr/>
  </w:style>
  <w:style w:type="character" w:styleId="WW8Num11z3">
    <w:name w:val="WW8Num11z3"/>
    <w:rPr/>
  </w:style>
  <w:style w:type="character" w:styleId="WW8Num11z4">
    <w:name w:val="WW8Num11z4"/>
    <w:rPr/>
  </w:style>
  <w:style w:type="character" w:styleId="WW8Num11z5">
    <w:name w:val="WW8Num11z5"/>
    <w:rPr/>
  </w:style>
  <w:style w:type="character" w:styleId="WW8Num11z6">
    <w:name w:val="WW8Num11z6"/>
    <w:rPr/>
  </w:style>
  <w:style w:type="character" w:styleId="WW8Num11z7">
    <w:name w:val="WW8Num11z7"/>
    <w:rPr/>
  </w:style>
  <w:style w:type="character" w:styleId="WW8Num11z8">
    <w:name w:val="WW8Num11z8"/>
    <w:rPr/>
  </w:style>
  <w:style w:type="character" w:styleId="WW8Num12z0">
    <w:name w:val="WW8Num12z0"/>
    <w:rPr/>
  </w:style>
  <w:style w:type="character" w:styleId="WW8Num12z1">
    <w:name w:val="WW8Num12z1"/>
    <w:rPr/>
  </w:style>
  <w:style w:type="character" w:styleId="WW8Num12z2">
    <w:name w:val="WW8Num12z2"/>
    <w:rPr/>
  </w:style>
  <w:style w:type="character" w:styleId="WW8Num12z3">
    <w:name w:val="WW8Num12z3"/>
    <w:rPr/>
  </w:style>
  <w:style w:type="character" w:styleId="WW8Num12z4">
    <w:name w:val="WW8Num12z4"/>
    <w:rPr/>
  </w:style>
  <w:style w:type="character" w:styleId="WW8Num12z5">
    <w:name w:val="WW8Num12z5"/>
    <w:rPr/>
  </w:style>
  <w:style w:type="character" w:styleId="WW8Num12z6">
    <w:name w:val="WW8Num12z6"/>
    <w:rPr/>
  </w:style>
  <w:style w:type="character" w:styleId="WW8Num12z7">
    <w:name w:val="WW8Num12z7"/>
    <w:rPr/>
  </w:style>
  <w:style w:type="character" w:styleId="WW8Num12z8">
    <w:name w:val="WW8Num12z8"/>
    <w:rPr/>
  </w:style>
  <w:style w:type="character" w:styleId="WW8Num13z0">
    <w:name w:val="WW8Num13z0"/>
    <w:rPr>
      <w:rFonts w:ascii="Verdana" w:hAnsi="Verdana" w:cs="Verdana"/>
      <w:bCs/>
      <w:sz w:val="18"/>
      <w:szCs w:val="18"/>
    </w:rPr>
  </w:style>
  <w:style w:type="character" w:styleId="WW8Num13z1">
    <w:name w:val="WW8Num13z1"/>
    <w:rPr/>
  </w:style>
  <w:style w:type="character" w:styleId="WW8Num13z2">
    <w:name w:val="WW8Num13z2"/>
    <w:rPr/>
  </w:style>
  <w:style w:type="character" w:styleId="WW8Num13z3">
    <w:name w:val="WW8Num13z3"/>
    <w:rPr/>
  </w:style>
  <w:style w:type="character" w:styleId="WW8Num13z4">
    <w:name w:val="WW8Num13z4"/>
    <w:rPr/>
  </w:style>
  <w:style w:type="character" w:styleId="WW8Num13z5">
    <w:name w:val="WW8Num13z5"/>
    <w:rPr/>
  </w:style>
  <w:style w:type="character" w:styleId="WW8Num13z6">
    <w:name w:val="WW8Num13z6"/>
    <w:rPr/>
  </w:style>
  <w:style w:type="character" w:styleId="WW8Num13z7">
    <w:name w:val="WW8Num13z7"/>
    <w:rPr/>
  </w:style>
  <w:style w:type="character" w:styleId="WW8Num13z8">
    <w:name w:val="WW8Num13z8"/>
    <w:rPr/>
  </w:style>
  <w:style w:type="character" w:styleId="WW8Num14z0">
    <w:name w:val="WW8Num14z0"/>
    <w:rPr>
      <w:rFonts w:ascii="Calibri" w:hAnsi="Calibri" w:eastAsia="Calibri" w:cs="Arial"/>
    </w:rPr>
  </w:style>
  <w:style w:type="character" w:styleId="WW8Num14z1">
    <w:name w:val="WW8Num14z1"/>
    <w:rPr>
      <w:rFonts w:ascii="Courier New" w:hAnsi="Courier New" w:cs="Courier New"/>
    </w:rPr>
  </w:style>
  <w:style w:type="character" w:styleId="WW8Num14z2">
    <w:name w:val="WW8Num14z2"/>
    <w:rPr>
      <w:rFonts w:ascii="Wingdings" w:hAnsi="Wingdings" w:cs="Wingdings"/>
    </w:rPr>
  </w:style>
  <w:style w:type="character" w:styleId="WW8Num14z3">
    <w:name w:val="WW8Num14z3"/>
    <w:rPr>
      <w:rFonts w:ascii="Symbol" w:hAnsi="Symbol" w:cs="Symbol"/>
    </w:rPr>
  </w:style>
  <w:style w:type="character" w:styleId="Fuentedeprrafopredeter1">
    <w:name w:val="Fuente de párrafo predeter.1"/>
    <w:rPr/>
  </w:style>
  <w:style w:type="character" w:styleId="Nmerodepgina">
    <w:name w:val="Número de página"/>
    <w:basedOn w:val="Fuentedeprrafopredeter1"/>
    <w:rPr/>
  </w:style>
  <w:style w:type="character" w:styleId="Muydestacado">
    <w:name w:val="Muy destacado"/>
    <w:basedOn w:val="Fuentedeprrafopredeter1"/>
    <w:rPr>
      <w:b/>
      <w:bCs/>
    </w:rPr>
  </w:style>
  <w:style w:type="character" w:styleId="EnlacedeInternet">
    <w:name w:val="Enlace de Internet"/>
    <w:basedOn w:val="Fuentedeprrafopredeter1"/>
    <w:rPr>
      <w:color w:val="0000FF"/>
      <w:u w:val="single"/>
      <w:lang w:val="zxx" w:eastAsia="zxx" w:bidi="zxx"/>
    </w:rPr>
  </w:style>
  <w:style w:type="character" w:styleId="Appleconvertedspace">
    <w:name w:val="apple-converted-space"/>
    <w:basedOn w:val="Fuentedeprrafopredeter1"/>
    <w:rPr/>
  </w:style>
  <w:style w:type="character" w:styleId="RTFNum21">
    <w:name w:val="RTF_Num 2 1"/>
    <w:rPr>
      <w:rFonts w:ascii="Helvetica" w:hAnsi="Helvetica" w:eastAsia="Calibri" w:cs="Helvetica"/>
    </w:rPr>
  </w:style>
  <w:style w:type="character" w:styleId="RTFNum22">
    <w:name w:val="RTF_Num 2 2"/>
    <w:rPr>
      <w:rFonts w:eastAsia="Courier New" w:cs="Courier New"/>
    </w:rPr>
  </w:style>
  <w:style w:type="character" w:styleId="RTFNum23">
    <w:name w:val="RTF_Num 2 3"/>
    <w:rPr>
      <w:rFonts w:eastAsia="Wingdings" w:cs="Wingdings"/>
    </w:rPr>
  </w:style>
  <w:style w:type="character" w:styleId="RTFNum24">
    <w:name w:val="RTF_Num 2 4"/>
    <w:rPr>
      <w:rFonts w:eastAsia="Symbol" w:cs="Symbol"/>
    </w:rPr>
  </w:style>
  <w:style w:type="character" w:styleId="RTFNum25">
    <w:name w:val="RTF_Num 2 5"/>
    <w:rPr/>
  </w:style>
  <w:style w:type="character" w:styleId="RTFNum26">
    <w:name w:val="RTF_Num 2 6"/>
    <w:rPr/>
  </w:style>
  <w:style w:type="character" w:styleId="RTFNum27">
    <w:name w:val="RTF_Num 2 7"/>
    <w:rPr/>
  </w:style>
  <w:style w:type="character" w:styleId="RTFNum28">
    <w:name w:val="RTF_Num 2 8"/>
    <w:rPr/>
  </w:style>
  <w:style w:type="character" w:styleId="RTFNum29">
    <w:name w:val="RTF_Num 2 9"/>
    <w:rPr/>
  </w:style>
  <w:style w:type="character" w:styleId="RTFNum31">
    <w:name w:val="RTF_Num 3 1"/>
    <w:rPr>
      <w:rFonts w:eastAsia="Calibri" w:cs="Helvetica-Bold;Arial"/>
      <w:b/>
      <w:bCs/>
      <w:i/>
      <w:iCs/>
    </w:rPr>
  </w:style>
  <w:style w:type="character" w:styleId="RTFNum32">
    <w:name w:val="RTF_Num 3 2"/>
    <w:rPr/>
  </w:style>
  <w:style w:type="character" w:styleId="RTFNum33">
    <w:name w:val="RTF_Num 3 3"/>
    <w:rPr/>
  </w:style>
  <w:style w:type="character" w:styleId="RTFNum34">
    <w:name w:val="RTF_Num 3 4"/>
    <w:rPr/>
  </w:style>
  <w:style w:type="character" w:styleId="RTFNum35">
    <w:name w:val="RTF_Num 3 5"/>
    <w:rPr/>
  </w:style>
  <w:style w:type="character" w:styleId="RTFNum36">
    <w:name w:val="RTF_Num 3 6"/>
    <w:rPr/>
  </w:style>
  <w:style w:type="character" w:styleId="RTFNum37">
    <w:name w:val="RTF_Num 3 7"/>
    <w:rPr/>
  </w:style>
  <w:style w:type="character" w:styleId="RTFNum38">
    <w:name w:val="RTF_Num 3 8"/>
    <w:rPr/>
  </w:style>
  <w:style w:type="character" w:styleId="RTFNum39">
    <w:name w:val="RTF_Num 3 9"/>
    <w:rPr/>
  </w:style>
  <w:style w:type="character" w:styleId="RTFNum41">
    <w:name w:val="RTF_Num 4 1"/>
    <w:rPr/>
  </w:style>
  <w:style w:type="character" w:styleId="RTFNum42">
    <w:name w:val="RTF_Num 4 2"/>
    <w:rPr/>
  </w:style>
  <w:style w:type="character" w:styleId="RTFNum43">
    <w:name w:val="RTF_Num 4 3"/>
    <w:rPr/>
  </w:style>
  <w:style w:type="character" w:styleId="RTFNum44">
    <w:name w:val="RTF_Num 4 4"/>
    <w:rPr/>
  </w:style>
  <w:style w:type="character" w:styleId="RTFNum45">
    <w:name w:val="RTF_Num 4 5"/>
    <w:rPr/>
  </w:style>
  <w:style w:type="character" w:styleId="RTFNum46">
    <w:name w:val="RTF_Num 4 6"/>
    <w:rPr/>
  </w:style>
  <w:style w:type="character" w:styleId="RTFNum47">
    <w:name w:val="RTF_Num 4 7"/>
    <w:rPr/>
  </w:style>
  <w:style w:type="character" w:styleId="RTFNum48">
    <w:name w:val="RTF_Num 4 8"/>
    <w:rPr/>
  </w:style>
  <w:style w:type="character" w:styleId="RTFNum49">
    <w:name w:val="RTF_Num 4 9"/>
    <w:rPr/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20"/>
    </w:pPr>
    <w:rPr/>
  </w:style>
  <w:style w:type="paragraph" w:styleId="Lista">
    <w:name w:val="Lista"/>
    <w:basedOn w:val="Cuerpodetexto"/>
    <w:pPr/>
    <w:rPr>
      <w:rFonts w:cs="Lucida 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Lucida Sans"/>
    </w:rPr>
  </w:style>
  <w:style w:type="paragraph" w:styleId="Encabezado1">
    <w:name w:val="Encabezado1"/>
    <w:basedOn w:val="Normal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Etiqueta">
    <w:name w:val="Etiquet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Encabezamiento">
    <w:name w:val="Encabezamiento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Piedepgina">
    <w:name w:val="Pie de página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pPr>
      <w:spacing w:before="280" w:after="119"/>
    </w:pPr>
    <w:rPr/>
  </w:style>
  <w:style w:type="paragraph" w:styleId="Prrafodelista">
    <w:name w:val="Párrafo de lista"/>
    <w:basedOn w:val="Normal"/>
    <w:pPr>
      <w:spacing w:lineRule="auto" w:line="276" w:before="0" w:after="200"/>
      <w:ind w:left="720" w:right="0" w:hanging="0"/>
    </w:pPr>
    <w:rPr>
      <w:rFonts w:ascii="Calibri" w:hAnsi="Calibri" w:eastAsia="Calibri" w:cs="Calibri"/>
      <w:sz w:val="22"/>
      <w:szCs w:val="22"/>
    </w:rPr>
  </w:style>
  <w:style w:type="paragraph" w:styleId="Contenidodelmarco">
    <w:name w:val="Contenido del marco"/>
    <w:basedOn w:val="Cuerpodetexto"/>
    <w:pPr/>
    <w:rPr/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2017-10-09T12:38:00Z</dcterms:created>
  <dc:creator>macuevasn</dc:creator>
  <dc:language>es-ES</dc:language>
  <cp:lastModifiedBy>macuevasn</cp:lastModifiedBy>
  <cp:lastPrinted>2017-10-10T08:20:33Z</cp:lastPrinted>
  <dcterms:modified xsi:type="dcterms:W3CDTF">2017-10-09T12:38:00Z</dcterms:modified>
  <cp:revision>2</cp:revision>
  <dc:title>PROPUESTA A DIPUTACION SOBRE ASIGNACIONES GRUPOS POLITICOS</dc:title>
</cp:coreProperties>
</file>