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Encabezamiento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</w:t>
      </w:r>
    </w:p>
    <w:p>
      <w:pPr>
        <w:pStyle w:val="Normal"/>
        <w:spacing w:lineRule="auto" w:line="240" w:before="280" w:after="280"/>
        <w:jc w:val="center"/>
        <w:rPr>
          <w:rFonts w:eastAsia="Times New Roman" w:cs="Times New Roman" w:ascii="Liberation Serif" w:hAnsi="Liberation Serif"/>
          <w:b/>
          <w:bCs/>
          <w:sz w:val="24"/>
          <w:szCs w:val="24"/>
          <w:lang w:eastAsia="es-ES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es-ES"/>
        </w:rPr>
        <w:t>AL PLENO DEL EXCMO. AYUNTAMIENTO DE JEREZ</w:t>
      </w:r>
    </w:p>
    <w:p>
      <w:pPr>
        <w:pStyle w:val="Normal"/>
        <w:spacing w:lineRule="auto" w:line="240" w:before="280" w:after="280"/>
        <w:jc w:val="both"/>
        <w:rPr>
          <w:rFonts w:eastAsia="Times New Roman" w:cs="Times New Roman" w:ascii="Liberation Serif" w:hAnsi="Liberation Serif"/>
          <w:b/>
          <w:bCs/>
          <w:sz w:val="24"/>
          <w:szCs w:val="24"/>
          <w:lang w:eastAsia="es-ES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es-ES"/>
        </w:rPr>
        <w:t>A/A Secretaría General</w:t>
      </w:r>
    </w:p>
    <w:p>
      <w:pPr>
        <w:pStyle w:val="Normal"/>
        <w:spacing w:lineRule="auto" w:line="240" w:before="280" w:after="280"/>
        <w:jc w:val="both"/>
        <w:rPr>
          <w:rFonts w:eastAsia="Times New Roman" w:cs="Times New Roman" w:ascii="Liberation Serif" w:hAnsi="Liberation Serif"/>
          <w:bCs/>
          <w:sz w:val="24"/>
          <w:szCs w:val="24"/>
          <w:lang w:eastAsia="es-ES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es-ES"/>
        </w:rPr>
        <w:t>D. Santiago Sánchez Muñoz, Portavoz del Grupo Municipal GANEMOS JEREZ, viene a formular para su aprobación en el próximo pleno ordinario, la siguiente:</w:t>
      </w:r>
    </w:p>
    <w:p>
      <w:pPr>
        <w:pStyle w:val="Normal"/>
        <w:spacing w:lineRule="auto" w:line="240" w:before="280" w:after="280"/>
        <w:jc w:val="both"/>
        <w:rPr>
          <w:rFonts w:eastAsia="Times New Roman" w:cs="Times New Roman" w:ascii="Liberation Serif" w:hAnsi="Liberation Serif"/>
          <w:b/>
          <w:bCs/>
          <w:sz w:val="24"/>
          <w:szCs w:val="24"/>
          <w:lang w:eastAsia="es-ES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es-ES"/>
        </w:rPr>
        <w:t>Proposición  sobre Declaración de diferentes Servicios como Servicios Esenciales</w:t>
      </w:r>
    </w:p>
    <w:p>
      <w:pPr>
        <w:pStyle w:val="Encabezado1"/>
        <w:numPr>
          <w:ilvl w:val="0"/>
          <w:numId w:val="1"/>
        </w:numPr>
        <w:ind w:left="102" w:right="0" w:hanging="432"/>
        <w:jc w:val="center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Exposición de motivos</w:t>
      </w:r>
    </w:p>
    <w:p>
      <w:pPr>
        <w:pStyle w:val="Cuerpodetex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76" w:before="1" w:after="0"/>
        <w:ind w:left="102" w:right="116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 xml:space="preserve">El apartado 1 del artículo 2 de la Ley 7/85, Reguladora de Bases de Régimen Local, tras la redacción dado por la Ley 27/2013 de 27 de diciembre, de racionalización y sostenibilidad de la Administración Local dispone: </w:t>
      </w:r>
      <w:r>
        <w:rPr>
          <w:rFonts w:ascii="Liberation Serif" w:hAnsi="Liberation Serif"/>
          <w:i/>
          <w:color w:val="212121"/>
          <w:sz w:val="24"/>
          <w:szCs w:val="24"/>
        </w:rPr>
        <w:t>“ Para la efectividad de la autonomía garantizada constitucionalmente a las Entidades Locales, la legislación del Estado y la de las Comunidades Autónomas, reguladora de los distintos sectores de acción pública, según la distribución constitucional de competencias, deberá asegurar a los Municipios, las Provincias y las Islas su derecho a intervenir en cuantos asuntos afecten directamente al círculo de sus intereses, atribuyéndoles las competencias que proceda en atención a las características de la actividad pública de que se trate y a la capacidad de gestión de la Entidad Local, de conformidad con los principios de descentralización, proximidad, eficacia y eficiencia, y con estricta sujeción as la normativa de estabilidad presupuestaria y sostenibilidad financiera”. En el apartado 2 de ese mismo artículo, se indica que “Las Leyes básicas del Estado previstas constitucionalmente deberán determinar las competencias que ellas mismas atribuyan o que, en todo caso, deban corresponder a los entes locales en las materias que regulen”.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 w:val="false"/>
          <w:iCs w:val="false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 xml:space="preserve">En consonancia con dicho precepto, en el artículo 25 de la citada Ley, en su apartado 2, se señala: </w:t>
      </w:r>
      <w:r>
        <w:rPr>
          <w:rFonts w:ascii="Liberation Serif" w:hAnsi="Liberation Serif"/>
          <w:i/>
          <w:color w:val="212121"/>
          <w:sz w:val="24"/>
          <w:szCs w:val="24"/>
        </w:rPr>
        <w:t xml:space="preserve">“El municipio ejercerá en todo caso como competencias propias, en los términos de la legislación del Estado y de las Comunidades Autónomas, en las siguientes materia (…) “ </w:t>
      </w:r>
      <w:r>
        <w:rPr>
          <w:rFonts w:ascii="Liberation Serif" w:hAnsi="Liberation Serif"/>
          <w:i w:val="false"/>
          <w:iCs w:val="false"/>
          <w:color w:val="212121"/>
          <w:sz w:val="24"/>
          <w:szCs w:val="24"/>
        </w:rPr>
        <w:t>entre otras: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 xml:space="preserve">a) Urbanismo: planeamiento, gestión, ejecución y disciplina urbanística. Protección y gestión del Patrimonio histórico. Promoción y gestión de la vivienda de protección 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pública con criterios de sostenibilidad financiera. Conservación y rehabilitación de la edificación.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b) Medio ambiente urbano: en particular, parques y jardines públicos, gestión de los residuos sólidos urbanos y protección contra la contaminación acústica, lumínica y atmosférica en las zonas urbanas.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h) Información y promoción de la actividad turística de interés y ámbito local.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i) Ferias, abastos, mercados, lonjas y comercio ambulante.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l) Promoción del deporte e instalaciones deportivas y de ocupación del tiempo libre.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m) Promoción de la cultura y equipamientos culturales.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n) (…) La conservación, mantenimiento y vigilancia de los edificios de titularidad local destinados a centros públicos de educación infantil, de educación primaria o de educación especial.</w:t>
      </w:r>
    </w:p>
    <w:p>
      <w:pPr>
        <w:pStyle w:val="Normal"/>
        <w:spacing w:lineRule="auto" w:line="276" w:before="198" w:after="0"/>
        <w:ind w:left="102" w:right="119" w:hanging="0"/>
        <w:jc w:val="both"/>
        <w:rPr>
          <w:rFonts w:ascii="Liberation Serif" w:hAnsi="Liberation Serif"/>
          <w:i w:val="false"/>
          <w:iCs w:val="false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A su vez el artículo 26 apartado primero dispone: “</w:t>
      </w:r>
      <w:r>
        <w:rPr>
          <w:rFonts w:ascii="Liberation Serif" w:hAnsi="Liberation Serif"/>
          <w:i/>
          <w:color w:val="212121"/>
          <w:sz w:val="24"/>
          <w:szCs w:val="24"/>
        </w:rPr>
        <w:t xml:space="preserve">Los Municipios deberán prestar, en todo caso, los servicios siguientes (…) “ </w:t>
      </w:r>
      <w:r>
        <w:rPr>
          <w:rFonts w:ascii="Liberation Serif" w:hAnsi="Liberation Serif"/>
          <w:i w:val="false"/>
          <w:iCs w:val="false"/>
          <w:color w:val="212121"/>
          <w:sz w:val="24"/>
          <w:szCs w:val="24"/>
        </w:rPr>
        <w:t>entre otros:</w:t>
      </w:r>
    </w:p>
    <w:p>
      <w:pPr>
        <w:pStyle w:val="Normal"/>
        <w:spacing w:lineRule="auto" w:line="276" w:before="198" w:after="0"/>
        <w:ind w:left="102" w:right="119" w:hanging="0"/>
        <w:jc w:val="both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b) En los Municipios con población superior a 5.000 habitantes, además: parque público,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biblioteca pública </w:t>
      </w:r>
      <w:r>
        <w:rPr>
          <w:rFonts w:ascii="Liberation Serif" w:hAnsi="Liberation Serif"/>
          <w:i/>
          <w:iCs/>
          <w:sz w:val="24"/>
          <w:szCs w:val="24"/>
        </w:rPr>
        <w:t>y tratamiento de residuos.</w:t>
      </w:r>
    </w:p>
    <w:p>
      <w:pPr>
        <w:pStyle w:val="Normal"/>
        <w:spacing w:lineRule="auto" w:line="276" w:before="198" w:after="0"/>
        <w:ind w:left="102" w:right="119" w:hanging="0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c) En los Municipios con población superior a 20.000 habitantes, además: protección civil, evaluación e información de situaciones de necesidad social y la atención inmediata a personas en situación o riesgo de exclusión social, prevención y extinción de incendios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e instalaciones deportivas de uso público.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 xml:space="preserve">Resultan sobradamente conocidas las graves carencias de recursos humanos evidenciadas a través de la falta de prestación de determinados servicios y/o simplemente el cierre total o parcial de los mismos: 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Bibliotecas, que permanecen cerradas por la tardes a excepción de una de ellas en la actualidad y sin personal especializado como recoge la normativa autonómica.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 xml:space="preserve">Mantenimiento y Custodia de Centros Educativos de Infatil y Primaria. Siendo en la actualidad varios los Centros que no disponen de Portero, siendo esto endémico en los 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útimos años con deficiencias y largos periodos sin prestar este servicio en Centros Educativos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Instalaciones Deportivas cerradas, total o parcialmente, sin prestar servicios y/o infrautilizadas y con bajo nivel de servicio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cs="Calibri" w:ascii="Liberation Serif" w:hAnsi="Liberation Serif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cs="Calibri" w:ascii="Liberation Serif" w:hAnsi="Liberation Serif"/>
          <w:color w:val="212121"/>
          <w:sz w:val="24"/>
          <w:szCs w:val="24"/>
        </w:rPr>
        <w:t>Retrasos importantísimos en la concesión de licencias de todo tipo y ausencia total o casi total de</w:t>
      </w:r>
      <w:r>
        <w:rPr>
          <w:rFonts w:cs="Calibri" w:ascii="Liberation Serif" w:hAnsi="Liberation Serif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 xml:space="preserve"> inspección y control actividad urbanística como es notorio.</w:t>
      </w:r>
    </w:p>
    <w:p>
      <w:pPr>
        <w:pStyle w:val="Cuerpodetexto"/>
        <w:spacing w:lineRule="auto" w:line="276" w:before="201" w:after="0"/>
        <w:ind w:left="102" w:right="124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Grave falta de recursos humanos en Mercados, Oficina de Turismo y Oficina de Atención al Ciudadano.</w:t>
      </w:r>
    </w:p>
    <w:p>
      <w:pPr>
        <w:pStyle w:val="Cuerpodetexto"/>
        <w:spacing w:lineRule="auto" w:line="276" w:before="201" w:after="0"/>
        <w:ind w:left="102" w:right="124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La situación expuesta evidencia la concurrencia de las circunstancias que exceptúan la prohibición de contratación de personal, establecida en el artículo de la Ley 36/2014, de 26 de diciembre, de Presupuestos Generales del Estado para el año 2015, al concurrir los supuestos de excepcionalidad, urgencia y carácter inaplazable previstos en el</w:t>
      </w:r>
      <w:r>
        <w:rPr>
          <w:rFonts w:ascii="Liberation Serif" w:hAnsi="Liberation Serif"/>
          <w:color w:val="212121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color w:val="212121"/>
          <w:sz w:val="24"/>
          <w:szCs w:val="24"/>
        </w:rPr>
        <w:t xml:space="preserve">mismo, al menos de manera flagrante en algunos de los mencionados servicios. </w:t>
      </w:r>
    </w:p>
    <w:p>
      <w:pPr>
        <w:pStyle w:val="Cuerpodetexto"/>
        <w:spacing w:lineRule="auto" w:line="276" w:before="199" w:after="0"/>
        <w:ind w:left="102" w:right="118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La sentencia 185/1995 de 14 de diciembre del Tribunal Constitucional, ofrece una visión de lo que puede considerarse como servicio esencial: el servicio requerido es objetivamente indispensable para poder satisfacer las necesidades básicas de la vida personal o social de los particulares de acuerdo con las circunstancias sociales de cada momento y lugar o, dicho, con otras palabras, cuando la renuncia a estos bienes, servicios o actividades priva al particular de aspectos esenciales de su vida privada o</w:t>
      </w:r>
      <w:r>
        <w:rPr>
          <w:rFonts w:ascii="Liberation Serif" w:hAnsi="Liberation Serif"/>
          <w:color w:val="212121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color w:val="212121"/>
          <w:sz w:val="24"/>
          <w:szCs w:val="24"/>
        </w:rPr>
        <w:t>social.</w:t>
      </w:r>
    </w:p>
    <w:p>
      <w:pPr>
        <w:pStyle w:val="Encabezado1"/>
        <w:numPr>
          <w:ilvl w:val="0"/>
          <w:numId w:val="1"/>
        </w:numPr>
        <w:spacing w:before="75" w:after="0"/>
        <w:ind w:left="102" w:right="0" w:hanging="432"/>
        <w:rPr>
          <w:rFonts w:cs="Calibri"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Encabezado1"/>
        <w:numPr>
          <w:ilvl w:val="0"/>
          <w:numId w:val="1"/>
        </w:numPr>
        <w:spacing w:before="75" w:after="0"/>
        <w:ind w:left="102" w:right="0" w:hanging="432"/>
        <w:rPr>
          <w:rFonts w:cs="Calibri" w:ascii="Liberation Serif" w:hAnsi="Liberation Serif"/>
          <w:color w:val="212121"/>
          <w:sz w:val="24"/>
          <w:szCs w:val="24"/>
        </w:rPr>
      </w:pPr>
      <w:r>
        <w:rPr>
          <w:rFonts w:cs="Calibri" w:ascii="Liberation Serif" w:hAnsi="Liberation Serif"/>
          <w:color w:val="212121"/>
          <w:sz w:val="24"/>
          <w:szCs w:val="24"/>
        </w:rPr>
        <w:t>Acuerdos</w:t>
      </w:r>
    </w:p>
    <w:p>
      <w:pPr>
        <w:pStyle w:val="Encabezado1"/>
        <w:numPr>
          <w:ilvl w:val="0"/>
          <w:numId w:val="1"/>
        </w:numPr>
        <w:spacing w:before="75" w:after="0"/>
        <w:ind w:left="102" w:right="0" w:hanging="432"/>
        <w:rPr>
          <w:rFonts w:cs="Calibri"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ListParagraph"/>
        <w:numPr>
          <w:ilvl w:val="2"/>
          <w:numId w:val="2"/>
        </w:numPr>
        <w:tabs>
          <w:tab w:val="left" w:pos="810" w:leader="none"/>
        </w:tabs>
        <w:spacing w:lineRule="auto" w:line="276" w:before="0" w:after="0"/>
        <w:jc w:val="both"/>
        <w:rPr>
          <w:rFonts w:cs="Calibri" w:ascii="Liberation Serif" w:hAnsi="Liberation Serif"/>
          <w:color w:val="212121"/>
          <w:sz w:val="24"/>
          <w:szCs w:val="24"/>
        </w:rPr>
      </w:pPr>
      <w:r>
        <w:rPr>
          <w:rFonts w:cs="Calibri" w:ascii="Liberation Serif" w:hAnsi="Liberation Serif"/>
          <w:color w:val="212121"/>
          <w:sz w:val="24"/>
          <w:szCs w:val="24"/>
        </w:rPr>
        <w:t xml:space="preserve">Declarar a todos los efectos como </w:t>
      </w:r>
      <w:r>
        <w:rPr>
          <w:rFonts w:cs="Calibri" w:ascii="Liberation Serif" w:hAnsi="Liberation Serif"/>
          <w:b/>
          <w:color w:val="212121"/>
          <w:sz w:val="24"/>
          <w:szCs w:val="24"/>
        </w:rPr>
        <w:t>servicios esenciales</w:t>
      </w:r>
      <w:r>
        <w:rPr>
          <w:rFonts w:cs="Calibri" w:ascii="Liberation Serif" w:hAnsi="Liberation Serif"/>
          <w:color w:val="212121"/>
          <w:sz w:val="24"/>
          <w:szCs w:val="24"/>
        </w:rPr>
        <w:t xml:space="preserve">, los recursos que integran los </w:t>
      </w:r>
      <w:r>
        <w:rPr>
          <w:rFonts w:cs="Calibri" w:ascii="Liberation Serif" w:hAnsi="Liberation Serif"/>
          <w:b/>
          <w:color w:val="212121"/>
          <w:sz w:val="24"/>
          <w:szCs w:val="24"/>
        </w:rPr>
        <w:t>servicios de Bibliotecas, Mantenimiento y Custodia de Centros Educativos, Servicios Deportivos, licencias, así como inspección y control de la actividad urbanistica</w:t>
      </w:r>
      <w:r>
        <w:rPr>
          <w:rFonts w:cs="Calibri" w:ascii="Liberation Serif" w:hAnsi="Liberation Serif"/>
          <w:color w:val="212121"/>
          <w:sz w:val="24"/>
          <w:szCs w:val="24"/>
        </w:rPr>
        <w:t>, en base a los razonamientos recogidos en la parte expositiva de la presente resolución.</w:t>
      </w:r>
    </w:p>
    <w:p>
      <w:pPr>
        <w:pStyle w:val="ListParagraph"/>
        <w:numPr>
          <w:ilvl w:val="2"/>
          <w:numId w:val="2"/>
        </w:numPr>
        <w:tabs>
          <w:tab w:val="left" w:pos="810" w:leader="none"/>
        </w:tabs>
        <w:spacing w:lineRule="auto" w:line="276" w:before="0" w:after="0"/>
        <w:ind w:left="822" w:right="126" w:hanging="348"/>
        <w:jc w:val="both"/>
        <w:rPr>
          <w:rFonts w:cs="Calibri" w:ascii="Liberation Serif" w:hAnsi="Liberation Serif"/>
          <w:color w:val="212121"/>
          <w:sz w:val="24"/>
          <w:szCs w:val="24"/>
        </w:rPr>
      </w:pPr>
      <w:r>
        <w:rPr>
          <w:rFonts w:cs="Calibri" w:ascii="Liberation Serif" w:hAnsi="Liberation Serif"/>
          <w:color w:val="212121"/>
          <w:sz w:val="24"/>
          <w:szCs w:val="24"/>
        </w:rPr>
        <w:t>En base a la anterior declaración, que surta efectos en relación con la excepción prevista en el artículo 21.2 de la Ley 36/2014, de 26 de diciembre, de Presupuestos Generales del Estado para el año</w:t>
      </w:r>
      <w:r>
        <w:rPr>
          <w:rFonts w:cs="Calibri" w:ascii="Liberation Serif" w:hAnsi="Liberation Serif"/>
          <w:color w:val="212121"/>
          <w:spacing w:val="0"/>
          <w:sz w:val="24"/>
          <w:szCs w:val="24"/>
        </w:rPr>
        <w:t xml:space="preserve"> </w:t>
      </w:r>
      <w:r>
        <w:rPr>
          <w:rFonts w:cs="Calibri" w:ascii="Liberation Serif" w:hAnsi="Liberation Serif"/>
          <w:color w:val="212121"/>
          <w:sz w:val="24"/>
          <w:szCs w:val="24"/>
        </w:rPr>
        <w:t>2015.</w:t>
      </w:r>
    </w:p>
    <w:p>
      <w:pPr>
        <w:pStyle w:val="ListParagraph"/>
        <w:tabs>
          <w:tab w:val="left" w:pos="810" w:leader="none"/>
        </w:tabs>
        <w:spacing w:lineRule="auto" w:line="276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2"/>
          <w:numId w:val="2"/>
        </w:numPr>
        <w:tabs>
          <w:tab w:val="left" w:pos="810" w:leader="none"/>
        </w:tabs>
        <w:spacing w:lineRule="auto" w:line="276" w:before="0" w:after="0"/>
        <w:jc w:val="both"/>
        <w:rPr>
          <w:rFonts w:cs="Calibri" w:ascii="Liberation Serif" w:hAnsi="Liberation Serif"/>
          <w:color w:val="212121"/>
          <w:sz w:val="24"/>
          <w:szCs w:val="24"/>
        </w:rPr>
      </w:pPr>
      <w:r>
        <w:rPr>
          <w:rFonts w:cs="Calibri" w:ascii="Liberation Serif" w:hAnsi="Liberation Serif"/>
          <w:color w:val="212121"/>
          <w:sz w:val="24"/>
          <w:szCs w:val="24"/>
        </w:rPr>
        <w:t xml:space="preserve">Aprobar de conformidad con lo dispuestos en el artículo 127 g) Ley 7/85, de 2 de abril, Reguladora de Bases de Régimen Local, la realización con carácter urgente por parte del Servicio de Recursos Humanos de las gestiones oportunas para dotar a los Servicios de  </w:t>
      </w:r>
      <w:r>
        <w:rPr>
          <w:rFonts w:cs="Calibri" w:ascii="Liberation Serif" w:hAnsi="Liberation Serif"/>
          <w:b/>
          <w:color w:val="212121"/>
          <w:sz w:val="24"/>
          <w:szCs w:val="24"/>
        </w:rPr>
        <w:t xml:space="preserve">Bibliotecas, Mantenimiento y Custodia de Centros Educativos, Servicios Deportivos, licencias, así como inspección y control de la actividad urbanistica </w:t>
      </w:r>
      <w:r>
        <w:rPr>
          <w:rFonts w:cs="Calibri" w:ascii="Liberation Serif" w:hAnsi="Liberation Serif"/>
          <w:color w:val="212121"/>
          <w:sz w:val="24"/>
          <w:szCs w:val="24"/>
        </w:rPr>
        <w:t>en las diferentes categorías necesarias para ello.</w:t>
      </w:r>
    </w:p>
    <w:p>
      <w:pPr>
        <w:pStyle w:val="ListParagraph"/>
        <w:numPr>
          <w:ilvl w:val="2"/>
          <w:numId w:val="2"/>
        </w:numPr>
        <w:tabs>
          <w:tab w:val="left" w:pos="810" w:leader="none"/>
        </w:tabs>
        <w:spacing w:lineRule="auto" w:line="276" w:before="0" w:after="0"/>
        <w:jc w:val="both"/>
        <w:rPr>
          <w:rFonts w:cs="Calibri" w:ascii="Liberation Serif" w:hAnsi="Liberation Serif"/>
          <w:color w:val="212121"/>
          <w:sz w:val="24"/>
          <w:szCs w:val="24"/>
        </w:rPr>
      </w:pPr>
      <w:r>
        <w:rPr>
          <w:rFonts w:cs="Calibri" w:ascii="Liberation Serif" w:hAnsi="Liberation Serif"/>
          <w:color w:val="212121"/>
          <w:sz w:val="24"/>
          <w:szCs w:val="24"/>
        </w:rPr>
        <w:t xml:space="preserve">De la misma manera proceder a un estudio profundo de los servicios de </w:t>
      </w:r>
      <w:r>
        <w:rPr>
          <w:rFonts w:cs="Calibri" w:ascii="Liberation Serif" w:hAnsi="Liberation Serif"/>
          <w:b/>
          <w:bCs/>
          <w:color w:val="212121"/>
          <w:sz w:val="24"/>
          <w:szCs w:val="24"/>
        </w:rPr>
        <w:t>Mercados, Oficina de Turismo y Oficina de Atención al Ciudadano</w:t>
      </w:r>
      <w:r>
        <w:rPr>
          <w:rFonts w:cs="Calibri" w:ascii="Liberation Serif" w:hAnsi="Liberation Serif"/>
          <w:color w:val="212121"/>
          <w:sz w:val="24"/>
          <w:szCs w:val="24"/>
        </w:rPr>
        <w:t>, por si fuera necesaria e imprescidible es la misma declaración tras la busqueda de soluciones alternativas mediante la resestructuración de recursos humanos.</w:t>
      </w:r>
    </w:p>
    <w:p>
      <w:pPr>
        <w:pStyle w:val="NormalWe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Jerez a 13 de Noviembre de 2017</w:t>
      </w:r>
    </w:p>
    <w:p>
      <w:pPr>
        <w:pStyle w:val="NormalWe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We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We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We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Web"/>
        <w:rPr>
          <w:rFonts w:cs="Calibri"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Fdo.: Santiago Sánchez Muñoz.</w:t>
      </w:r>
    </w:p>
    <w:p>
      <w:pPr>
        <w:pStyle w:val="NormalWeb"/>
        <w:rPr>
          <w:rFonts w:cs="Calibri"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(Portavoz del Grupo Municipal Ganemos Jerez)</w:t>
      </w:r>
    </w:p>
    <w:p>
      <w:pPr>
        <w:pStyle w:val="NormalWe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We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Web"/>
        <w:spacing w:before="280" w:after="28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2980" w:footer="1417" w:bottom="195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DejaVu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spacing w:before="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right"/>
      <w:rPr>
        <w:i/>
      </w:rPr>
    </w:pPr>
    <w:r>
      <w:rPr>
        <w:rFonts w:cs="Calibri"/>
      </w:rPr>
      <w:t xml:space="preserve"> </w:t>
    </w:r>
    <w:r>
      <w:rPr/>
      <w:t xml:space="preserve">Grupo Municipal </w:t>
    </w:r>
    <w:r>
      <w:rPr>
        <w:i/>
      </w:rPr>
      <w:t>Ganemos Jerez</w:t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24765</wp:posOffset>
          </wp:positionH>
          <wp:positionV relativeFrom="paragraph">
            <wp:posOffset>-37465</wp:posOffset>
          </wp:positionV>
          <wp:extent cx="2095500" cy="76454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>
        <w:rFonts w:cs="Calibri"/>
      </w:rPr>
    </w:pPr>
    <w:r>
      <w:rPr>
        <w:rFonts w:cs="Calibri"/>
      </w:rPr>
      <w:t xml:space="preserve">   </w:t>
    </w:r>
  </w:p>
  <w:p>
    <w:pPr>
      <w:pStyle w:val="Encabezamiento"/>
      <w:jc w:val="right"/>
      <w:rPr/>
    </w:pPr>
    <w:r>
      <w:rPr>
        <w:rFonts w:cs="Calibri"/>
      </w:rPr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21"/>
      <w:numFmt w:val="decimal"/>
      <w:lvlText w:val=""/>
      <w:lvlJc w:val="left"/>
      <w:pPr>
        <w:ind w:left="102" w:hanging="568"/>
      </w:pPr>
    </w:lvl>
    <w:lvl w:ilvl="1">
      <w:start w:val="2"/>
      <w:numFmt w:val="decimal"/>
      <w:lvlText w:val="%1.%2"/>
      <w:lvlJc w:val="left"/>
      <w:pPr>
        <w:ind w:left="102" w:hanging="568"/>
      </w:pPr>
      <w:rPr>
        <w:color w:val="212121"/>
        <w:sz w:val="24"/>
        <w:szCs w:val="24"/>
        <w:w w:val="99"/>
      </w:rPr>
    </w:lvl>
    <w:lvl w:ilvl="2">
      <w:start w:val="1"/>
      <w:numFmt w:val="decimal"/>
      <w:lvlText w:val="%3-"/>
      <w:lvlJc w:val="left"/>
      <w:pPr>
        <w:ind w:left="822" w:hanging="348"/>
      </w:pPr>
      <w:rPr>
        <w:color w:val="212121"/>
        <w:sz w:val="24"/>
        <w:spacing w:val="0"/>
        <w:szCs w:val="24"/>
        <w:w w:val="99"/>
      </w:rPr>
    </w:lvl>
    <w:lvl w:ilvl="3">
      <w:start w:val="0"/>
      <w:numFmt w:val="bullet"/>
      <w:lvlText w:val=""/>
      <w:lvlJc w:val="left"/>
      <w:pPr>
        <w:ind w:left="2576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455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33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212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090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6969" w:hanging="348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DejaVu Sans;Arial"/>
      <w:color w:val="00000A"/>
      <w:sz w:val="22"/>
      <w:szCs w:val="22"/>
      <w:lang w:val="es-ES" w:eastAsia="zh-CN" w:bidi="ar-SA"/>
    </w:rPr>
  </w:style>
  <w:style w:type="paragraph" w:styleId="Encabezado1">
    <w:name w:val="Encabezado 1"/>
    <w:basedOn w:val="Normal"/>
    <w:pPr>
      <w:spacing w:before="1" w:after="0"/>
      <w:ind w:left="102" w:right="0" w:hanging="0"/>
      <w:outlineLvl w:val="0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type="paragraph" w:styleId="Encabezado2">
    <w:name w:val="Encabezado 2"/>
    <w:basedOn w:val="Normal"/>
    <w:pPr>
      <w:spacing w:lineRule="auto" w:line="240" w:before="280" w:after="280"/>
      <w:ind w:left="0" w:right="0" w:hanging="0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lang w:val="es-ES" w:eastAsia="es-ES" w:bidi="es-ES"/>
    </w:rPr>
  </w:style>
  <w:style w:type="character" w:styleId="WW8Num2z1">
    <w:name w:val="WW8Num2z1"/>
    <w:rPr>
      <w:rFonts w:eastAsia="Arial" w:cs="Arial"/>
      <w:color w:val="212121"/>
      <w:w w:val="99"/>
      <w:sz w:val="24"/>
      <w:szCs w:val="24"/>
      <w:lang w:val="es-ES" w:eastAsia="es-ES" w:bidi="es-ES"/>
    </w:rPr>
  </w:style>
  <w:style w:type="character" w:styleId="WW8Num2z2">
    <w:name w:val="WW8Num2z2"/>
    <w:rPr>
      <w:rFonts w:ascii="Calibri" w:hAnsi="Calibri" w:eastAsia="Arial" w:cs="Arial"/>
      <w:color w:val="212121"/>
      <w:spacing w:val="0"/>
      <w:w w:val="99"/>
      <w:sz w:val="24"/>
      <w:szCs w:val="24"/>
      <w:lang w:val="es-ES" w:eastAsia="es-ES" w:bidi="es-ES"/>
    </w:rPr>
  </w:style>
  <w:style w:type="character" w:styleId="WW8Num2z3">
    <w:name w:val="WW8Num2z3"/>
    <w:rPr>
      <w:rFonts w:ascii="Symbol" w:hAnsi="Symbol" w:cs="Symbol"/>
      <w:lang w:val="es-ES" w:eastAsia="es-ES" w:bidi="es-ES"/>
    </w:rPr>
  </w:style>
  <w:style w:type="character" w:styleId="Fuentedeprrafopredeter">
    <w:name w:val="Fuente de párrafo predeter."/>
    <w:rPr/>
  </w:style>
  <w:style w:type="character" w:styleId="Ttulo2Car">
    <w:name w:val="Título 2 Car"/>
    <w:basedOn w:val="Fuentedeprrafopredeter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InternetLink">
    <w:name w:val="Internet Link"/>
    <w:basedOn w:val="Fuentedeprrafopredeter"/>
    <w:rPr>
      <w:color w:val="0000FF"/>
      <w:u w:val="single"/>
    </w:rPr>
  </w:style>
  <w:style w:type="character" w:styleId="Muydestacado">
    <w:name w:val="Muy destacado"/>
    <w:basedOn w:val="Fuentedeprrafopredeter"/>
    <w:rPr>
      <w:b/>
      <w:bCs/>
    </w:rPr>
  </w:style>
  <w:style w:type="character" w:styleId="5yl5">
    <w:name w:val="_5yl5"/>
    <w:basedOn w:val="Fuentedeprrafopredeter"/>
    <w:rPr/>
  </w:style>
  <w:style w:type="character" w:styleId="EncabezadoCar">
    <w:name w:val="Encabezado Car"/>
    <w:basedOn w:val="Fuentedeprrafopredeter"/>
    <w:rPr>
      <w:rFonts w:cs="Times New Roman"/>
    </w:rPr>
  </w:style>
  <w:style w:type="character" w:styleId="ListLabel1">
    <w:name w:val="ListLabel 1"/>
    <w:rPr>
      <w:lang w:val="es-ES" w:eastAsia="es-ES" w:bidi="es-ES"/>
    </w:rPr>
  </w:style>
  <w:style w:type="character" w:styleId="ListLabel2">
    <w:name w:val="ListLabel 2"/>
    <w:rPr>
      <w:rFonts w:eastAsia="Arial" w:cs="Arial"/>
      <w:color w:val="212121"/>
      <w:w w:val="99"/>
      <w:sz w:val="24"/>
      <w:szCs w:val="24"/>
      <w:lang w:val="es-ES" w:eastAsia="es-ES" w:bidi="es-ES"/>
    </w:rPr>
  </w:style>
  <w:style w:type="character" w:styleId="ListLabel3">
    <w:name w:val="ListLabel 3"/>
    <w:rPr>
      <w:rFonts w:eastAsia="Arial" w:cs="Arial"/>
      <w:color w:val="212121"/>
      <w:spacing w:val="0"/>
      <w:w w:val="99"/>
      <w:sz w:val="24"/>
      <w:szCs w:val="24"/>
      <w:lang w:val="es-ES" w:eastAsia="es-ES" w:bidi="es-ES"/>
    </w:rPr>
  </w:style>
  <w:style w:type="character" w:styleId="ListLabel4">
    <w:name w:val="ListLabel 4"/>
    <w:rPr>
      <w:lang w:val="es-ES" w:eastAsia="es-ES" w:bidi="es-ES"/>
    </w:rPr>
  </w:style>
  <w:style w:type="character" w:styleId="ListLabel5">
    <w:name w:val="ListLabel 5"/>
    <w:rPr>
      <w:color w:val="212121"/>
      <w:w w:val="99"/>
      <w:sz w:val="24"/>
      <w:szCs w:val="24"/>
    </w:rPr>
  </w:style>
  <w:style w:type="character" w:styleId="ListLabel6">
    <w:name w:val="ListLabel 6"/>
    <w:rPr>
      <w:color w:val="212121"/>
      <w:spacing w:val="0"/>
      <w:w w:val="99"/>
      <w:sz w:val="24"/>
      <w:szCs w:val="24"/>
    </w:rPr>
  </w:style>
  <w:style w:type="character" w:styleId="ListLabel7">
    <w:name w:val="ListLabel 7"/>
    <w:rPr>
      <w:rFonts w:cs="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DejaVu Sans;Arial" w:hAnsi="DejaVu Sans;Arial" w:eastAsia="DejaVu Sans;Arial" w:cs="DejaVu Sans;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  <w:suppressAutoHyphens w:val="true"/>
    </w:pPr>
    <w:rPr>
      <w:rFonts w:cs="FreeSans" w:ascii="Liberation Serif" w:hAnsi="Liberation Serif" w:eastAsia="Droid Sans Fallback"/>
      <w:color w:val="auto"/>
      <w:sz w:val="24"/>
      <w:szCs w:val="24"/>
      <w:lang w:val="es-ES" w:eastAsia="zh-CN" w:bidi="hi-IN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Times New Roman"/>
    </w:rPr>
  </w:style>
  <w:style w:type="paragraph" w:styleId="ListParagraph">
    <w:name w:val="List Paragraph"/>
    <w:basedOn w:val="Normal"/>
    <w:pPr>
      <w:ind w:left="822" w:right="115" w:hanging="360"/>
      <w:jc w:val="both"/>
    </w:pPr>
    <w:rPr>
      <w:rFonts w:ascii="Arial" w:hAnsi="Arial" w:eastAsia="Arial" w:cs="Arial"/>
      <w:lang w:val="es-ES" w:eastAsia="es-ES" w:bidi="es-ES"/>
    </w:rPr>
  </w:style>
  <w:style w:type="paragraph" w:styleId="Piedepgina">
    <w:name w:val="Pie de página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2015-11-10T09:30:00Z</dcterms:created>
  <dc:creator>Administrador</dc:creator>
  <dc:language>es-ES</dc:language>
  <cp:lastPrinted>2017-11-16T09:04:42Z</cp:lastPrinted>
  <dcterms:modified xsi:type="dcterms:W3CDTF">2017-11-06T20:18:23Z</dcterms:modified>
  <cp:revision>5</cp:revision>
</cp:coreProperties>
</file>