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ackground w:color="FFFFFF"/>
  <w:body>
    <w:p>
      <w:pPr>
        <w:pStyle w:val="Encabezamiento"/>
        <w:jc w:val="right"/>
        <w:rPr>
          <w:i/>
        </w:rPr>
      </w:pPr>
      <w:r>
        <w:rPr>
          <w:rFonts w:cs="Calibri"/>
        </w:rPr>
        <w:t xml:space="preserve"> </w:t>
      </w:r>
      <w:r>
        <w:rPr/>
        <w:t xml:space="preserve">Grupo Municipal </w:t>
      </w:r>
      <w:r>
        <w:rPr>
          <w:i/>
        </w:rPr>
        <w:t>Ganemos Jerez</w:t>
      </w:r>
    </w:p>
    <w:p>
      <w:pPr>
        <w:pStyle w:val="Encabezamiento"/>
        <w:rPr>
          <w:rFonts w:cs="Calibri"/>
        </w:rPr>
      </w:pPr>
      <w:r>
        <w:rPr>
          <w:rFonts w:cs="Calibri"/>
        </w:rPr>
        <w:t xml:space="preserve">   </w:t>
      </w:r>
    </w:p>
    <w:p>
      <w:pPr>
        <w:pStyle w:val="Encabezamiento"/>
        <w:jc w:val="right"/>
        <w:rPr/>
      </w:pPr>
      <w:r>
        <w:rPr>
          <w:rFonts w:cs="Calibri"/>
        </w:rPr>
        <w:t xml:space="preserve">                                                    </w:t>
      </w:r>
      <w:r>
        <w:rPr/>
        <w:t>Plaza de la Yerba, 3. Planta baja.</w:t>
      </w:r>
    </w:p>
    <w:p>
      <w:pPr>
        <w:pStyle w:val="Encabezamiento"/>
        <w:jc w:val="right"/>
        <w:rPr/>
      </w:pPr>
      <w:r>
        <w:rPr/>
        <w:tab/>
      </w:r>
    </w:p>
    <w:p>
      <w:pPr>
        <w:pStyle w:val="Encabezamiento"/>
        <w:jc w:val="right"/>
        <w:rPr>
          <w:rFonts w:cs="Calibri"/>
        </w:rPr>
      </w:pPr>
      <w:r>
        <w:rPr>
          <w:rFonts w:cs="Calibri"/>
        </w:rPr>
        <w:t xml:space="preserve">11.403-Jerez de la Frontera                                                                                                                </w:t>
        <w:drawing>
          <wp:anchor behindDoc="0" distT="0" distB="0" distL="114935" distR="114935" simplePos="0" locked="0" layoutInCell="1" allowOverlap="1" relativeHeight="0">
            <wp:simplePos x="0" y="0"/>
            <wp:positionH relativeFrom="column">
              <wp:posOffset>186690</wp:posOffset>
            </wp:positionH>
            <wp:positionV relativeFrom="paragraph">
              <wp:posOffset>-742315</wp:posOffset>
            </wp:positionV>
            <wp:extent cx="2094865" cy="763270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Encabezamiento"/>
        <w:jc w:val="right"/>
        <w:rPr/>
      </w:pPr>
      <w:r>
        <w:rPr/>
      </w:r>
    </w:p>
    <w:p>
      <w:pPr>
        <w:pStyle w:val="Normal"/>
        <w:spacing w:lineRule="auto" w:line="240" w:before="280" w:after="280"/>
        <w:jc w:val="center"/>
        <w:rPr>
          <w:rFonts w:eastAsia="Times New Roman" w:cs="Times New Roman" w:ascii="Liberation Serif" w:hAnsi="Liberation Serif"/>
          <w:b/>
          <w:bCs/>
          <w:sz w:val="24"/>
          <w:szCs w:val="24"/>
          <w:lang w:eastAsia="es-ES"/>
        </w:rPr>
      </w:pPr>
      <w:r>
        <w:rPr>
          <w:rFonts w:eastAsia="Times New Roman" w:cs="Times New Roman" w:ascii="Liberation Serif" w:hAnsi="Liberation Serif"/>
          <w:b/>
          <w:bCs/>
          <w:sz w:val="24"/>
          <w:szCs w:val="24"/>
          <w:lang w:eastAsia="es-ES"/>
        </w:rPr>
        <w:t>AL EXCMO. AYUNTAMIENTO DE JEREZ</w:t>
      </w:r>
    </w:p>
    <w:p>
      <w:pPr>
        <w:pStyle w:val="Normal"/>
        <w:spacing w:lineRule="auto" w:line="240" w:before="280" w:after="280"/>
        <w:jc w:val="both"/>
        <w:rPr>
          <w:rFonts w:eastAsia="Times New Roman" w:cs="Times New Roman" w:ascii="Liberation Serif" w:hAnsi="Liberation Serif"/>
          <w:b/>
          <w:bCs/>
          <w:sz w:val="24"/>
          <w:szCs w:val="24"/>
          <w:lang w:eastAsia="es-ES"/>
        </w:rPr>
      </w:pPr>
      <w:r>
        <w:rPr>
          <w:rFonts w:eastAsia="Times New Roman" w:cs="Times New Roman" w:ascii="Liberation Serif" w:hAnsi="Liberation Serif"/>
          <w:b/>
          <w:bCs/>
          <w:sz w:val="24"/>
          <w:szCs w:val="24"/>
          <w:lang w:eastAsia="es-ES"/>
        </w:rPr>
        <w:t>A/A Secretaría General</w:t>
      </w:r>
    </w:p>
    <w:p>
      <w:pPr>
        <w:pStyle w:val="Normal"/>
        <w:spacing w:lineRule="auto" w:line="240" w:before="280" w:after="280"/>
        <w:jc w:val="both"/>
        <w:rPr>
          <w:rFonts w:eastAsia="Times New Roman" w:cs="Times New Roman" w:ascii="Liberation Serif" w:hAnsi="Liberation Serif"/>
          <w:b/>
          <w:bCs/>
          <w:color w:val="212121"/>
          <w:sz w:val="24"/>
          <w:szCs w:val="24"/>
          <w:lang w:eastAsia="es-ES"/>
        </w:rPr>
      </w:pPr>
      <w:r>
        <w:rPr>
          <w:rFonts w:eastAsia="Times New Roman" w:cs="Times New Roman" w:ascii="Liberation Serif" w:hAnsi="Liberation Serif"/>
          <w:bCs/>
          <w:sz w:val="24"/>
          <w:szCs w:val="24"/>
          <w:lang w:eastAsia="es-ES"/>
        </w:rPr>
        <w:t xml:space="preserve">D. Santiago Sánchez Muñoz, Portavoz del Grupo Municipal GANEMOS JEREZ, viene a formular para su aprobación en el próximo pleno ordinario, </w:t>
      </w:r>
      <w:r>
        <w:rPr>
          <w:rFonts w:eastAsia="Times New Roman" w:cs="Times New Roman" w:ascii="Liberation Serif" w:hAnsi="Liberation Serif"/>
          <w:bCs/>
          <w:sz w:val="24"/>
          <w:szCs w:val="24"/>
          <w:lang w:eastAsia="es-ES"/>
        </w:rPr>
        <w:t xml:space="preserve">el siguiente </w:t>
      </w:r>
      <w:r>
        <w:rPr>
          <w:rFonts w:eastAsia="Times New Roman" w:cs="Times New Roman" w:ascii="Liberation Serif" w:hAnsi="Liberation Serif"/>
          <w:b/>
          <w:bCs/>
          <w:color w:val="212121"/>
          <w:sz w:val="24"/>
          <w:szCs w:val="24"/>
          <w:lang w:eastAsia="es-ES"/>
        </w:rPr>
        <w:t>Ruego:</w:t>
      </w:r>
      <w:r>
        <w:rPr>
          <w:rFonts w:eastAsia="Times New Roman" w:cs="Times New Roman" w:ascii="Liberation Serif" w:hAnsi="Liberation Serif"/>
          <w:b/>
          <w:bCs/>
          <w:color w:val="212121"/>
          <w:sz w:val="24"/>
          <w:szCs w:val="24"/>
          <w:lang w:eastAsia="es-ES"/>
        </w:rPr>
        <w:t xml:space="preserve"> Declaración de los servicios esenciales</w:t>
      </w:r>
    </w:p>
    <w:p>
      <w:pPr>
        <w:pStyle w:val="Encabezado1"/>
        <w:numPr>
          <w:ilvl w:val="0"/>
          <w:numId w:val="1"/>
        </w:numPr>
        <w:ind w:left="102" w:right="0" w:hanging="432"/>
        <w:jc w:val="center"/>
        <w:rPr>
          <w:rFonts w:ascii="Liberation Serif" w:hAnsi="Liberation Serif"/>
          <w:color w:val="212121"/>
          <w:sz w:val="24"/>
          <w:szCs w:val="24"/>
        </w:rPr>
      </w:pPr>
      <w:r>
        <w:rPr>
          <w:rFonts w:ascii="Liberation Serif" w:hAnsi="Liberation Serif"/>
          <w:color w:val="212121"/>
          <w:sz w:val="24"/>
          <w:szCs w:val="24"/>
        </w:rPr>
        <w:t>Exposición de motivos</w:t>
      </w:r>
    </w:p>
    <w:p>
      <w:pPr>
        <w:pStyle w:val="Cuerpodetex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spacing w:lineRule="auto" w:line="276" w:before="1" w:after="0"/>
        <w:ind w:left="102" w:right="116" w:hanging="0"/>
        <w:jc w:val="both"/>
        <w:rPr>
          <w:rFonts w:ascii="Liberation Serif" w:hAnsi="Liberation Serif"/>
          <w:i/>
          <w:color w:val="212121"/>
          <w:sz w:val="24"/>
          <w:szCs w:val="24"/>
        </w:rPr>
      </w:pPr>
      <w:r>
        <w:rPr>
          <w:rFonts w:ascii="Liberation Serif" w:hAnsi="Liberation Serif"/>
          <w:color w:val="212121"/>
          <w:sz w:val="24"/>
          <w:szCs w:val="24"/>
        </w:rPr>
        <w:t xml:space="preserve">El apartado 1 del artículo 2 de la Ley 7/85, Reguladora de Bases de Régimen Local, tras la redacción dado por la Ley 27/2013 de 27 de diciembre, de racionalización y sostenibilidad de la Administración Local dispone: </w:t>
      </w:r>
      <w:r>
        <w:rPr>
          <w:rFonts w:ascii="Liberation Serif" w:hAnsi="Liberation Serif"/>
          <w:i/>
          <w:color w:val="212121"/>
          <w:sz w:val="24"/>
          <w:szCs w:val="24"/>
        </w:rPr>
        <w:t>“ Para la efectividad de la autonomía garantizada constitucionalmente a las Entidades Locales, la legislación del Estado y la de las Comunidades Autónomas, reguladora de los distintos sectores de acción pública, según la distribución constitucional de competencias, deberá asegurar a los Municipios, las Provincias y las Islas su derecho a intervenir en cuantos asuntos afecten directamente al círculo de sus intereses, atribuyéndoles las competencias que proceda en atención a las características de la actividad pública de que se trate y a la capacidad de gestión de la Entidad Local, de conformidad con los principios de descentralización, proximidad, eficacia y eficiencia, y con estricta sujeción as la normativa de estabilidad presupuestaria y sostenibilidad financiera”. En el apartado 2 de ese mismo artículo, se indica que “Las Leyes básicas del Estado previstas constitucionalmente deberán determinar las competencias que ellas mismas atribuyan o que, en todo caso, deban corresponder a los entes locales en las materias que regulen”.</w:t>
      </w:r>
    </w:p>
    <w:p>
      <w:pPr>
        <w:pStyle w:val="Normal"/>
        <w:spacing w:lineRule="auto" w:line="276" w:before="200" w:after="0"/>
        <w:ind w:left="102" w:right="120" w:hanging="0"/>
        <w:jc w:val="both"/>
        <w:rPr>
          <w:rFonts w:ascii="Liberation Serif" w:hAnsi="Liberation Serif"/>
          <w:i w:val="false"/>
          <w:iCs w:val="false"/>
          <w:color w:val="212121"/>
          <w:sz w:val="24"/>
          <w:szCs w:val="24"/>
        </w:rPr>
      </w:pPr>
      <w:r>
        <w:rPr>
          <w:rFonts w:ascii="Liberation Serif" w:hAnsi="Liberation Serif"/>
          <w:color w:val="212121"/>
          <w:sz w:val="24"/>
          <w:szCs w:val="24"/>
        </w:rPr>
        <w:t xml:space="preserve">En consonancia con dicho precepto, en el artículo 25 de la citada Ley, en su apartado 2, se señala: </w:t>
      </w:r>
      <w:r>
        <w:rPr>
          <w:rFonts w:ascii="Liberation Serif" w:hAnsi="Liberation Serif"/>
          <w:i/>
          <w:color w:val="212121"/>
          <w:sz w:val="24"/>
          <w:szCs w:val="24"/>
        </w:rPr>
        <w:t xml:space="preserve">“El municipio ejercerá en todo caso como competencias propias, en los términos de la legislación del Estado y de las Comunidades Autónomas, en las siguientes materia (…) “ </w:t>
      </w:r>
      <w:r>
        <w:rPr>
          <w:rFonts w:ascii="Liberation Serif" w:hAnsi="Liberation Serif"/>
          <w:i w:val="false"/>
          <w:iCs w:val="false"/>
          <w:color w:val="212121"/>
          <w:sz w:val="24"/>
          <w:szCs w:val="24"/>
        </w:rPr>
        <w:t>entre otras:</w:t>
      </w:r>
    </w:p>
    <w:p>
      <w:pPr>
        <w:pStyle w:val="Normal"/>
        <w:spacing w:lineRule="auto" w:line="276" w:before="200" w:after="0"/>
        <w:ind w:left="102" w:right="120" w:hanging="0"/>
        <w:jc w:val="both"/>
        <w:rPr>
          <w:rFonts w:ascii="Liberation Serif" w:hAnsi="Liberation Serif"/>
          <w:i/>
          <w:color w:val="212121"/>
          <w:sz w:val="24"/>
          <w:szCs w:val="24"/>
        </w:rPr>
      </w:pPr>
      <w:r>
        <w:rPr>
          <w:rFonts w:ascii="Liberation Serif" w:hAnsi="Liberation Serif"/>
          <w:i/>
          <w:color w:val="212121"/>
          <w:sz w:val="24"/>
          <w:szCs w:val="24"/>
        </w:rPr>
        <w:t>a) Urbanismo: planeamiento, gestión, ejecución y disciplina urbanística. Protección y gestión del Patrimonio histórico. Promoción y gestión de la vivienda de protección pública con criterios de sostenibilidad financiera. Conservación y rehabilitación de la edificación.</w:t>
      </w:r>
    </w:p>
    <w:p>
      <w:pPr>
        <w:pStyle w:val="Normal"/>
        <w:spacing w:lineRule="auto" w:line="276" w:before="200" w:after="0"/>
        <w:ind w:left="102" w:right="120" w:hanging="0"/>
        <w:jc w:val="both"/>
        <w:rPr>
          <w:rFonts w:ascii="Liberation Serif" w:hAnsi="Liberation Serif"/>
          <w:i/>
          <w:color w:val="212121"/>
          <w:sz w:val="24"/>
          <w:szCs w:val="24"/>
        </w:rPr>
      </w:pPr>
      <w:r>
        <w:rPr>
          <w:rFonts w:ascii="Liberation Serif" w:hAnsi="Liberation Serif"/>
          <w:i/>
          <w:color w:val="212121"/>
          <w:sz w:val="24"/>
          <w:szCs w:val="24"/>
        </w:rPr>
        <w:t>b) Medio ambiente urbano: en particular, parques y jardines públicos, gestión de los residuos sólidos urbanos y protección contra la contaminación acústica, lumínica y atmosférica en las zonas urbanas.</w:t>
      </w:r>
    </w:p>
    <w:p>
      <w:pPr>
        <w:pStyle w:val="Normal"/>
        <w:spacing w:lineRule="auto" w:line="276" w:before="200" w:after="0"/>
        <w:ind w:left="102" w:right="120" w:hanging="0"/>
        <w:jc w:val="both"/>
        <w:rPr>
          <w:rFonts w:ascii="Liberation Serif" w:hAnsi="Liberation Serif"/>
          <w:i/>
          <w:color w:val="212121"/>
          <w:sz w:val="24"/>
          <w:szCs w:val="24"/>
        </w:rPr>
      </w:pPr>
      <w:r>
        <w:rPr>
          <w:rFonts w:ascii="Liberation Serif" w:hAnsi="Liberation Serif"/>
          <w:i/>
          <w:color w:val="212121"/>
          <w:sz w:val="24"/>
          <w:szCs w:val="24"/>
        </w:rPr>
        <w:t>h) Información y promoción de la actividad turística de interés y ámbito local.</w:t>
      </w:r>
    </w:p>
    <w:p>
      <w:pPr>
        <w:pStyle w:val="Normal"/>
        <w:spacing w:lineRule="auto" w:line="276" w:before="200" w:after="0"/>
        <w:ind w:left="102" w:right="120" w:hanging="0"/>
        <w:jc w:val="both"/>
        <w:rPr>
          <w:rFonts w:ascii="Liberation Serif" w:hAnsi="Liberation Serif"/>
          <w:i/>
          <w:color w:val="212121"/>
          <w:sz w:val="24"/>
          <w:szCs w:val="24"/>
        </w:rPr>
      </w:pPr>
      <w:r>
        <w:rPr>
          <w:rFonts w:ascii="Liberation Serif" w:hAnsi="Liberation Serif"/>
          <w:i/>
          <w:color w:val="212121"/>
          <w:sz w:val="24"/>
          <w:szCs w:val="24"/>
        </w:rPr>
        <w:t>i) Ferias, abastos, mercados, lonjas y comercio ambulante.</w:t>
      </w:r>
    </w:p>
    <w:p>
      <w:pPr>
        <w:pStyle w:val="Normal"/>
        <w:spacing w:lineRule="auto" w:line="276" w:before="200" w:after="0"/>
        <w:ind w:left="102" w:right="120" w:hanging="0"/>
        <w:jc w:val="both"/>
        <w:rPr>
          <w:rFonts w:ascii="Liberation Serif" w:hAnsi="Liberation Serif"/>
          <w:i/>
          <w:color w:val="212121"/>
          <w:sz w:val="24"/>
          <w:szCs w:val="24"/>
        </w:rPr>
      </w:pPr>
      <w:r>
        <w:rPr>
          <w:rFonts w:ascii="Liberation Serif" w:hAnsi="Liberation Serif"/>
          <w:i/>
          <w:color w:val="212121"/>
          <w:sz w:val="24"/>
          <w:szCs w:val="24"/>
        </w:rPr>
        <w:t>l) Promoción del deporte e instalaciones deportivas y de ocupación del tiempo libre.</w:t>
      </w:r>
    </w:p>
    <w:p>
      <w:pPr>
        <w:pStyle w:val="Normal"/>
        <w:spacing w:lineRule="auto" w:line="276" w:before="200" w:after="0"/>
        <w:ind w:left="102" w:right="120" w:hanging="0"/>
        <w:jc w:val="both"/>
        <w:rPr>
          <w:rFonts w:ascii="Liberation Serif" w:hAnsi="Liberation Serif"/>
          <w:i/>
          <w:color w:val="212121"/>
          <w:sz w:val="24"/>
          <w:szCs w:val="24"/>
        </w:rPr>
      </w:pPr>
      <w:r>
        <w:rPr>
          <w:rFonts w:ascii="Liberation Serif" w:hAnsi="Liberation Serif"/>
          <w:i/>
          <w:color w:val="212121"/>
          <w:sz w:val="24"/>
          <w:szCs w:val="24"/>
        </w:rPr>
        <w:t>m) Promoción de la cultura y equipamientos culturales.</w:t>
      </w:r>
    </w:p>
    <w:p>
      <w:pPr>
        <w:pStyle w:val="Normal"/>
        <w:spacing w:lineRule="auto" w:line="276" w:before="200" w:after="0"/>
        <w:ind w:left="102" w:right="120" w:hanging="0"/>
        <w:jc w:val="both"/>
        <w:rPr>
          <w:rFonts w:ascii="Liberation Serif" w:hAnsi="Liberation Serif"/>
          <w:i/>
          <w:color w:val="212121"/>
          <w:sz w:val="24"/>
          <w:szCs w:val="24"/>
        </w:rPr>
      </w:pPr>
      <w:r>
        <w:rPr>
          <w:rFonts w:ascii="Liberation Serif" w:hAnsi="Liberation Serif"/>
          <w:i/>
          <w:color w:val="212121"/>
          <w:sz w:val="24"/>
          <w:szCs w:val="24"/>
        </w:rPr>
        <w:t>n) (…) La conservación, mantenimiento y vigilancia de los edificios de titularidad local destinados a centros públicos de educación infantil, de educación primaria o de educación especial.</w:t>
      </w:r>
    </w:p>
    <w:p>
      <w:pPr>
        <w:pStyle w:val="Normal"/>
        <w:spacing w:lineRule="auto" w:line="276" w:before="198" w:after="0"/>
        <w:ind w:left="102" w:right="119" w:hanging="0"/>
        <w:jc w:val="both"/>
        <w:rPr>
          <w:rFonts w:ascii="Liberation Serif" w:hAnsi="Liberation Serif"/>
          <w:i w:val="false"/>
          <w:iCs w:val="false"/>
          <w:color w:val="212121"/>
          <w:sz w:val="24"/>
          <w:szCs w:val="24"/>
        </w:rPr>
      </w:pPr>
      <w:r>
        <w:rPr>
          <w:rFonts w:ascii="Liberation Serif" w:hAnsi="Liberation Serif"/>
          <w:color w:val="212121"/>
          <w:sz w:val="24"/>
          <w:szCs w:val="24"/>
        </w:rPr>
        <w:t>A su vez el artículo 26 apartado primero dispone: “</w:t>
      </w:r>
      <w:r>
        <w:rPr>
          <w:rFonts w:ascii="Liberation Serif" w:hAnsi="Liberation Serif"/>
          <w:i/>
          <w:color w:val="212121"/>
          <w:sz w:val="24"/>
          <w:szCs w:val="24"/>
        </w:rPr>
        <w:t xml:space="preserve">Los Municipios deberán prestar, en todo caso, los servicios siguientes (…) “ </w:t>
      </w:r>
      <w:r>
        <w:rPr>
          <w:rFonts w:ascii="Liberation Serif" w:hAnsi="Liberation Serif"/>
          <w:i w:val="false"/>
          <w:iCs w:val="false"/>
          <w:color w:val="212121"/>
          <w:sz w:val="24"/>
          <w:szCs w:val="24"/>
        </w:rPr>
        <w:t>entre otros:</w:t>
      </w:r>
    </w:p>
    <w:p>
      <w:pPr>
        <w:pStyle w:val="Normal"/>
        <w:spacing w:lineRule="auto" w:line="276" w:before="198" w:after="0"/>
        <w:ind w:left="102" w:right="119" w:hanging="0"/>
        <w:jc w:val="both"/>
        <w:rPr>
          <w:rFonts w:ascii="Liberation Serif" w:hAnsi="Liberation Serif"/>
          <w:i/>
          <w:iCs/>
          <w:sz w:val="24"/>
          <w:szCs w:val="24"/>
        </w:rPr>
      </w:pPr>
      <w:r>
        <w:rPr>
          <w:rFonts w:ascii="Liberation Serif" w:hAnsi="Liberation Serif"/>
          <w:i/>
          <w:iCs/>
          <w:sz w:val="24"/>
          <w:szCs w:val="24"/>
        </w:rPr>
        <w:t xml:space="preserve">b) En los Municipios con población superior a 5.000 habitantes, además: parque público, 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 xml:space="preserve">biblioteca pública </w:t>
      </w:r>
      <w:r>
        <w:rPr>
          <w:rFonts w:ascii="Liberation Serif" w:hAnsi="Liberation Serif"/>
          <w:i/>
          <w:iCs/>
          <w:sz w:val="24"/>
          <w:szCs w:val="24"/>
        </w:rPr>
        <w:t>y tratamiento de residuos.</w:t>
      </w:r>
    </w:p>
    <w:p>
      <w:pPr>
        <w:pStyle w:val="Normal"/>
        <w:spacing w:lineRule="auto" w:line="276" w:before="198" w:after="0"/>
        <w:ind w:left="102" w:right="119" w:hanging="0"/>
        <w:jc w:val="both"/>
        <w:rPr>
          <w:rFonts w:ascii="Liberation Serif" w:hAnsi="Liberation Serif"/>
          <w:b/>
          <w:bCs/>
          <w:i/>
          <w:iCs/>
          <w:sz w:val="24"/>
          <w:szCs w:val="24"/>
        </w:rPr>
      </w:pPr>
      <w:r>
        <w:rPr>
          <w:rFonts w:ascii="Liberation Serif" w:hAnsi="Liberation Serif"/>
          <w:i/>
          <w:iCs/>
          <w:sz w:val="24"/>
          <w:szCs w:val="24"/>
        </w:rPr>
        <w:t xml:space="preserve">c) En los Municipios con población superior a 20.000 habitantes, además: protección civil, evaluación e información de situaciones de necesidad social y la atención inmediata a personas en situación o riesgo de exclusión social, prevención y extinción de incendios </w:t>
      </w:r>
      <w:r>
        <w:rPr>
          <w:rFonts w:ascii="Liberation Serif" w:hAnsi="Liberation Serif"/>
          <w:b/>
          <w:bCs/>
          <w:i/>
          <w:iCs/>
          <w:sz w:val="24"/>
          <w:szCs w:val="24"/>
        </w:rPr>
        <w:t>e instalaciones deportivas de uso público.</w:t>
      </w:r>
    </w:p>
    <w:p>
      <w:pPr>
        <w:pStyle w:val="Cuerpodetexto"/>
        <w:spacing w:lineRule="auto" w:line="276" w:before="201" w:after="0"/>
        <w:ind w:left="102" w:right="116" w:hanging="0"/>
        <w:jc w:val="both"/>
        <w:rPr>
          <w:rFonts w:ascii="Liberation Serif" w:hAnsi="Liberation Serif"/>
          <w:color w:val="212121"/>
          <w:sz w:val="24"/>
          <w:szCs w:val="24"/>
        </w:rPr>
      </w:pPr>
      <w:r>
        <w:rPr>
          <w:rFonts w:ascii="Liberation Serif" w:hAnsi="Liberation Serif"/>
          <w:color w:val="212121"/>
          <w:sz w:val="24"/>
          <w:szCs w:val="24"/>
        </w:rPr>
        <w:t xml:space="preserve">Resultan sobradamente conocidas las graves carencias de recursos humanos evidenciadas a través de la falta de prestación de determinados servicios y/o simplemente el cierre total o parcial de los mismos: </w:t>
      </w:r>
    </w:p>
    <w:p>
      <w:pPr>
        <w:pStyle w:val="Cuerpodetexto"/>
        <w:spacing w:lineRule="auto" w:line="276" w:before="201" w:after="0"/>
        <w:ind w:left="102" w:right="116" w:hanging="0"/>
        <w:jc w:val="both"/>
        <w:rPr>
          <w:rFonts w:ascii="Liberation Serif" w:hAnsi="Liberation Serif"/>
          <w:color w:val="212121"/>
          <w:sz w:val="24"/>
          <w:szCs w:val="24"/>
        </w:rPr>
      </w:pPr>
      <w:r>
        <w:rPr>
          <w:rFonts w:ascii="Liberation Serif" w:hAnsi="Liberation Serif"/>
          <w:color w:val="212121"/>
          <w:sz w:val="24"/>
          <w:szCs w:val="24"/>
        </w:rPr>
        <w:t>Bibliotecas, que permanecen cerradas por la tardes a excepción de una de ellas en la actualidad y sin personal especializado como recoge la normativa autonómica.</w:t>
      </w:r>
    </w:p>
    <w:p>
      <w:pPr>
        <w:pStyle w:val="Cuerpodetexto"/>
        <w:spacing w:lineRule="auto" w:line="276" w:before="201" w:after="0"/>
        <w:ind w:left="102" w:right="116" w:hanging="0"/>
        <w:jc w:val="both"/>
        <w:rPr>
          <w:rFonts w:ascii="Liberation Serif" w:hAnsi="Liberation Serif"/>
          <w:color w:val="212121"/>
          <w:sz w:val="24"/>
          <w:szCs w:val="24"/>
        </w:rPr>
      </w:pPr>
      <w:r>
        <w:rPr>
          <w:rFonts w:ascii="Liberation Serif" w:hAnsi="Liberation Serif"/>
          <w:color w:val="212121"/>
          <w:sz w:val="24"/>
          <w:szCs w:val="24"/>
        </w:rPr>
        <w:t>Mantenimiento y Custodia de Centros Educativos de Infatil y Primaria. Siendo en la actualidad varios los Centros que no disponen de Portero, siendo esto endémico en los útimos años con deficiencias y largos periodos sin prestar este servicio en Centros Educativos</w:t>
      </w:r>
    </w:p>
    <w:p>
      <w:pPr>
        <w:pStyle w:val="Cuerpodetexto"/>
        <w:spacing w:lineRule="auto" w:line="276" w:before="201" w:after="0"/>
        <w:ind w:left="102" w:right="116" w:hanging="0"/>
        <w:jc w:val="both"/>
        <w:rPr>
          <w:rFonts w:ascii="Liberation Serif" w:hAnsi="Liberation Serif"/>
          <w:color w:val="212121"/>
          <w:sz w:val="24"/>
          <w:szCs w:val="24"/>
        </w:rPr>
      </w:pPr>
      <w:r>
        <w:rPr>
          <w:rFonts w:ascii="Liberation Serif" w:hAnsi="Liberation Serif"/>
          <w:color w:val="212121"/>
          <w:sz w:val="24"/>
          <w:szCs w:val="24"/>
        </w:rPr>
        <w:t>Instalaciones Deportivas cerradas, total o parcialmente, sin prestar servicios y/o infrautilizadas y con bajo nivel de servicio</w:t>
      </w:r>
    </w:p>
    <w:p>
      <w:pPr>
        <w:pStyle w:val="Cuerpodetexto"/>
        <w:spacing w:lineRule="auto" w:line="276" w:before="201" w:after="0"/>
        <w:ind w:left="102" w:right="116" w:hanging="0"/>
        <w:jc w:val="both"/>
        <w:rPr>
          <w:rFonts w:cs="Calibri" w:ascii="Liberation Serif" w:hAnsi="Liberation Serif"/>
          <w:b w:val="false"/>
          <w:i w:val="false"/>
          <w:caps w:val="false"/>
          <w:smallCaps w:val="false"/>
          <w:color w:val="1D2129"/>
          <w:spacing w:val="0"/>
          <w:sz w:val="24"/>
          <w:szCs w:val="24"/>
        </w:rPr>
      </w:pPr>
      <w:r>
        <w:rPr>
          <w:rFonts w:cs="Calibri" w:ascii="Liberation Serif" w:hAnsi="Liberation Serif"/>
          <w:color w:val="212121"/>
          <w:sz w:val="24"/>
          <w:szCs w:val="24"/>
        </w:rPr>
        <w:t>Retrasos importantísimos en la concesión de licencias de todo tipo y ausencia total o casi total de</w:t>
      </w:r>
      <w:r>
        <w:rPr>
          <w:rFonts w:cs="Calibri" w:ascii="Liberation Serif" w:hAnsi="Liberation Serif"/>
          <w:b w:val="false"/>
          <w:i w:val="false"/>
          <w:caps w:val="false"/>
          <w:smallCaps w:val="false"/>
          <w:color w:val="1D2129"/>
          <w:spacing w:val="0"/>
          <w:sz w:val="24"/>
          <w:szCs w:val="24"/>
        </w:rPr>
        <w:t xml:space="preserve"> inspección y control actividad urbanística como es notorio.</w:t>
      </w:r>
    </w:p>
    <w:p>
      <w:pPr>
        <w:pStyle w:val="Cuerpodetexto"/>
        <w:spacing w:lineRule="auto" w:line="276" w:before="201" w:after="0"/>
        <w:ind w:left="102" w:right="124" w:hanging="0"/>
        <w:jc w:val="both"/>
        <w:rPr>
          <w:rFonts w:ascii="Liberation Serif" w:hAnsi="Liberation Serif"/>
          <w:color w:val="212121"/>
          <w:sz w:val="24"/>
          <w:szCs w:val="24"/>
        </w:rPr>
      </w:pPr>
      <w:r>
        <w:rPr>
          <w:rFonts w:ascii="Liberation Serif" w:hAnsi="Liberation Serif"/>
          <w:color w:val="212121"/>
          <w:sz w:val="24"/>
          <w:szCs w:val="24"/>
        </w:rPr>
        <w:t>Grave falta de recursos humanos en Mercados, Oficina de Turismo y Oficina de Atención al Ciudadano.</w:t>
      </w:r>
    </w:p>
    <w:p>
      <w:pPr>
        <w:pStyle w:val="Cuerpodetexto"/>
        <w:spacing w:lineRule="auto" w:line="276" w:before="201" w:after="0"/>
        <w:ind w:left="102" w:right="124" w:hanging="0"/>
        <w:jc w:val="both"/>
        <w:rPr>
          <w:rFonts w:ascii="Liberation Serif" w:hAnsi="Liberation Serif"/>
          <w:color w:val="212121"/>
          <w:sz w:val="24"/>
          <w:szCs w:val="24"/>
        </w:rPr>
      </w:pPr>
      <w:r>
        <w:rPr>
          <w:rFonts w:ascii="Liberation Serif" w:hAnsi="Liberation Serif"/>
          <w:color w:val="212121"/>
          <w:sz w:val="24"/>
          <w:szCs w:val="24"/>
        </w:rPr>
        <w:t>La situación expuesta evidencia la concurrencia de las circunstancias que exceptúan la prohibición de contratación de personal, establecida en el artículo de la Ley 36/2014, de 26 de diciembre, de Presupuestos Generales del Estado para el año 2015, al concurrir los supuestos de excepcionalidad, urgencia y carácter inaplazable previstos en el</w:t>
      </w:r>
      <w:r>
        <w:rPr>
          <w:rFonts w:ascii="Liberation Serif" w:hAnsi="Liberation Serif"/>
          <w:color w:val="212121"/>
          <w:spacing w:val="0"/>
          <w:sz w:val="24"/>
          <w:szCs w:val="24"/>
        </w:rPr>
        <w:t xml:space="preserve"> </w:t>
      </w:r>
      <w:r>
        <w:rPr>
          <w:rFonts w:ascii="Liberation Serif" w:hAnsi="Liberation Serif"/>
          <w:color w:val="212121"/>
          <w:sz w:val="24"/>
          <w:szCs w:val="24"/>
        </w:rPr>
        <w:t xml:space="preserve">mismo, al menos de manera flagrante en algunos de los mencionados servicios. </w:t>
      </w:r>
    </w:p>
    <w:p>
      <w:pPr>
        <w:pStyle w:val="Cuerpodetexto"/>
        <w:spacing w:lineRule="auto" w:line="276" w:before="199" w:after="0"/>
        <w:ind w:left="102" w:right="118" w:hanging="0"/>
        <w:jc w:val="both"/>
        <w:rPr>
          <w:rFonts w:ascii="Liberation Serif" w:hAnsi="Liberation Serif"/>
          <w:color w:val="212121"/>
          <w:sz w:val="24"/>
          <w:szCs w:val="24"/>
        </w:rPr>
      </w:pPr>
      <w:r>
        <w:rPr>
          <w:rFonts w:ascii="Liberation Serif" w:hAnsi="Liberation Serif"/>
          <w:color w:val="212121"/>
          <w:sz w:val="24"/>
          <w:szCs w:val="24"/>
        </w:rPr>
        <w:t>La sentencia 185/1995 de 14 de diciembre del Tribunal Constitucional, ofrece una visión de lo que puede considerarse como servicio esencial: el servicio requerido es objetivamente indispensable para poder satisfacer las necesidades básicas de la vida personal o social de los particulares de acuerdo con las circunstancias sociales de cada momento y lugar o, dicho, con otras palabras, cuando la renuncia a estos bienes, servicios o actividades priva al particular de aspectos esenciales de su vida privada o</w:t>
      </w:r>
      <w:r>
        <w:rPr>
          <w:rFonts w:ascii="Liberation Serif" w:hAnsi="Liberation Serif"/>
          <w:color w:val="212121"/>
          <w:spacing w:val="0"/>
          <w:sz w:val="24"/>
          <w:szCs w:val="24"/>
        </w:rPr>
        <w:t xml:space="preserve"> </w:t>
      </w:r>
      <w:r>
        <w:rPr>
          <w:rFonts w:ascii="Liberation Serif" w:hAnsi="Liberation Serif"/>
          <w:color w:val="212121"/>
          <w:sz w:val="24"/>
          <w:szCs w:val="24"/>
        </w:rPr>
        <w:t>social.</w:t>
      </w:r>
    </w:p>
    <w:p>
      <w:pPr>
        <w:pStyle w:val="Encabezado1"/>
        <w:numPr>
          <w:ilvl w:val="0"/>
          <w:numId w:val="1"/>
        </w:numPr>
        <w:spacing w:before="75" w:after="0"/>
        <w:ind w:left="102" w:right="0" w:hanging="432"/>
        <w:rPr>
          <w:rFonts w:cs="Calibri"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sz w:val="24"/>
          <w:szCs w:val="24"/>
        </w:rPr>
      </w:r>
    </w:p>
    <w:p>
      <w:pPr>
        <w:pStyle w:val="Encabezado1"/>
        <w:numPr>
          <w:ilvl w:val="0"/>
          <w:numId w:val="1"/>
        </w:numPr>
        <w:spacing w:before="75" w:after="0"/>
        <w:ind w:left="102" w:right="0" w:hanging="432"/>
        <w:rPr>
          <w:rFonts w:cs="Calibri" w:ascii="Liberation Serif" w:hAnsi="Liberation Serif"/>
          <w:color w:val="212121"/>
          <w:sz w:val="24"/>
          <w:szCs w:val="24"/>
        </w:rPr>
      </w:pPr>
      <w:r>
        <w:rPr>
          <w:rFonts w:cs="Calibri" w:ascii="Liberation Serif" w:hAnsi="Liberation Serif"/>
          <w:color w:val="212121"/>
          <w:sz w:val="24"/>
          <w:szCs w:val="24"/>
        </w:rPr>
        <w:t xml:space="preserve">        </w:t>
      </w:r>
      <w:r>
        <w:rPr>
          <w:rFonts w:cs="Calibri" w:ascii="Liberation Serif" w:hAnsi="Liberation Serif"/>
          <w:color w:val="212121"/>
          <w:sz w:val="24"/>
          <w:szCs w:val="24"/>
        </w:rPr>
        <w:t>Ruego:</w:t>
      </w:r>
    </w:p>
    <w:p>
      <w:pPr>
        <w:pStyle w:val="Encabezado1"/>
        <w:numPr>
          <w:ilvl w:val="0"/>
          <w:numId w:val="1"/>
        </w:numPr>
        <w:spacing w:before="75" w:after="0"/>
        <w:ind w:left="102" w:right="0" w:hanging="432"/>
        <w:rPr>
          <w:rFonts w:cs="Calibri"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sz w:val="24"/>
          <w:szCs w:val="24"/>
        </w:rPr>
      </w:r>
    </w:p>
    <w:p>
      <w:pPr>
        <w:pStyle w:val="ListParagraph"/>
        <w:numPr>
          <w:ilvl w:val="2"/>
          <w:numId w:val="2"/>
        </w:numPr>
        <w:tabs>
          <w:tab w:val="left" w:pos="810" w:leader="none"/>
        </w:tabs>
        <w:spacing w:lineRule="auto" w:line="276" w:before="0" w:after="0"/>
        <w:jc w:val="both"/>
        <w:rPr>
          <w:rFonts w:cs="Calibri" w:ascii="Liberation Serif" w:hAnsi="Liberation Serif"/>
          <w:color w:val="212121"/>
          <w:sz w:val="24"/>
          <w:szCs w:val="24"/>
        </w:rPr>
      </w:pPr>
      <w:r>
        <w:rPr>
          <w:rFonts w:cs="Calibri" w:ascii="Liberation Serif" w:hAnsi="Liberation Serif"/>
          <w:color w:val="212121"/>
          <w:sz w:val="24"/>
          <w:szCs w:val="24"/>
        </w:rPr>
        <w:t xml:space="preserve">Iniciar el expediente para poder declarar en el Pleno del Ayuntamiento de Jerez  a todos los efectos como </w:t>
      </w:r>
      <w:r>
        <w:rPr>
          <w:rFonts w:cs="Calibri" w:ascii="Liberation Serif" w:hAnsi="Liberation Serif"/>
          <w:b/>
          <w:color w:val="212121"/>
          <w:sz w:val="24"/>
          <w:szCs w:val="24"/>
        </w:rPr>
        <w:t>servicios esenciales</w:t>
      </w:r>
      <w:r>
        <w:rPr>
          <w:rFonts w:cs="Calibri" w:ascii="Liberation Serif" w:hAnsi="Liberation Serif"/>
          <w:color w:val="212121"/>
          <w:sz w:val="24"/>
          <w:szCs w:val="24"/>
        </w:rPr>
        <w:t xml:space="preserve">, los recursos que integran los </w:t>
      </w:r>
      <w:r>
        <w:rPr>
          <w:rFonts w:cs="Calibri" w:ascii="Liberation Serif" w:hAnsi="Liberation Serif"/>
          <w:b/>
          <w:color w:val="212121"/>
          <w:sz w:val="24"/>
          <w:szCs w:val="24"/>
        </w:rPr>
        <w:t>servicios de Bibliotecas, Mantenimiento y Custodia de Centros Educativos, Servicios Deportivos, licencias, así como inspección y control de la actividad urbanistica</w:t>
      </w:r>
      <w:r>
        <w:rPr>
          <w:rFonts w:cs="Calibri" w:ascii="Liberation Serif" w:hAnsi="Liberation Serif"/>
          <w:color w:val="212121"/>
          <w:sz w:val="24"/>
          <w:szCs w:val="24"/>
        </w:rPr>
        <w:t xml:space="preserve">, </w:t>
      </w:r>
      <w:r>
        <w:rPr>
          <w:rFonts w:cs="Calibri" w:ascii="Liberation Serif" w:hAnsi="Liberation Serif"/>
          <w:b/>
          <w:bCs/>
          <w:color w:val="212121"/>
          <w:sz w:val="24"/>
          <w:szCs w:val="24"/>
        </w:rPr>
        <w:t xml:space="preserve">Mercados, Oficina de Turismo y Oficina de Atención al Ciudadano </w:t>
      </w:r>
      <w:r>
        <w:rPr>
          <w:rFonts w:cs="Calibri" w:ascii="Liberation Serif" w:hAnsi="Liberation Serif"/>
          <w:color w:val="212121"/>
          <w:sz w:val="24"/>
          <w:szCs w:val="24"/>
        </w:rPr>
        <w:t>en base a los razonamientos recogidos en la parte expositiva de la presente resolución.</w:t>
      </w:r>
    </w:p>
    <w:p>
      <w:pPr>
        <w:pStyle w:val="ListParagraph"/>
        <w:tabs>
          <w:tab w:val="left" w:pos="810" w:leader="none"/>
        </w:tabs>
        <w:spacing w:lineRule="auto" w:line="276" w:before="0" w:after="0"/>
        <w:ind w:left="822" w:right="126" w:hanging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ListParagraph"/>
        <w:tabs>
          <w:tab w:val="left" w:pos="810" w:leader="none"/>
        </w:tabs>
        <w:spacing w:lineRule="auto" w:line="276" w:before="0" w:after="0"/>
        <w:ind w:left="462" w:right="126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En Jerez a 23 de Noviembre de 2017</w:t>
      </w:r>
    </w:p>
    <w:p>
      <w:pPr>
        <w:pStyle w:val="ListParagraph"/>
        <w:tabs>
          <w:tab w:val="left" w:pos="810" w:leader="none"/>
        </w:tabs>
        <w:spacing w:lineRule="auto" w:line="276" w:before="0" w:after="0"/>
        <w:ind w:left="822" w:right="126" w:hanging="36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Web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Web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Web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Web"/>
        <w:rPr>
          <w:rFonts w:cs="Calibri" w:ascii="Liberation Serif" w:hAnsi="Liberation Serif"/>
          <w:sz w:val="24"/>
          <w:szCs w:val="24"/>
        </w:rPr>
      </w:pPr>
      <w:r>
        <w:rPr>
          <w:rFonts w:cs="Calibri" w:ascii="Liberation Serif" w:hAnsi="Liberation Serif"/>
          <w:sz w:val="24"/>
          <w:szCs w:val="24"/>
        </w:rPr>
        <w:t xml:space="preserve">     </w:t>
      </w:r>
      <w:r>
        <w:rPr>
          <w:rFonts w:cs="Calibri" w:ascii="Liberation Serif" w:hAnsi="Liberation Serif"/>
          <w:sz w:val="24"/>
          <w:szCs w:val="24"/>
        </w:rPr>
        <w:t>Fdo.: Santiago Sánchez Muñoz.</w:t>
      </w:r>
    </w:p>
    <w:p>
      <w:pPr>
        <w:pStyle w:val="NormalWeb"/>
        <w:rPr>
          <w:rFonts w:cs="Calibri" w:ascii="Calibri" w:hAnsi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    </w:t>
      </w:r>
    </w:p>
    <w:p>
      <w:pPr>
        <w:pStyle w:val="NormalWeb"/>
        <w:rPr/>
      </w:pPr>
      <w:r>
        <w:rPr/>
      </w:r>
    </w:p>
    <w:p>
      <w:pPr>
        <w:pStyle w:val="NormalWeb"/>
        <w:rPr/>
      </w:pPr>
      <w:r>
        <w:rPr/>
      </w:r>
    </w:p>
    <w:p>
      <w:pPr>
        <w:pStyle w:val="NormalWeb"/>
        <w:spacing w:before="280" w:after="280"/>
        <w:rPr/>
      </w:pPr>
      <w:r>
        <w:rPr/>
      </w:r>
    </w:p>
    <w:sectPr>
      <w:footerReference w:type="default" r:id="rId3"/>
      <w:type w:val="nextPage"/>
      <w:pgSz w:w="11906" w:h="16838"/>
      <w:pgMar w:left="1701" w:right="1701" w:header="0" w:top="1417" w:footer="1417" w:bottom="195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DejaVu Sans">
    <w:altName w:val="Arial"/>
    <w:charset w:val="01"/>
    <w:family w:val="swiss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edepgina"/>
      <w:spacing w:before="0" w:after="200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>/</w:t>
    </w:r>
    <w:r>
      <w:rPr/>
      <w:fldChar w:fldCharType="begin"/>
    </w:r>
    <w:r>
      <w:instrText> NUMPAGES </w:instrText>
    </w:r>
    <w:r>
      <w:fldChar w:fldCharType="separate"/>
    </w:r>
    <w:r>
      <w:t>3</w:t>
    </w:r>
    <w: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21"/>
      <w:numFmt w:val="decimal"/>
      <w:lvlText w:val=""/>
      <w:lvlJc w:val="left"/>
      <w:pPr>
        <w:ind w:left="102" w:hanging="568"/>
      </w:pPr>
    </w:lvl>
    <w:lvl w:ilvl="1">
      <w:start w:val="2"/>
      <w:numFmt w:val="decimal"/>
      <w:lvlText w:val="%1.%2"/>
      <w:lvlJc w:val="left"/>
      <w:pPr>
        <w:ind w:left="102" w:hanging="568"/>
      </w:pPr>
      <w:rPr>
        <w:color w:val="212121"/>
        <w:sz w:val="24"/>
        <w:szCs w:val="24"/>
        <w:w w:val="99"/>
      </w:rPr>
    </w:lvl>
    <w:lvl w:ilvl="2">
      <w:start w:val="1"/>
      <w:numFmt w:val="decimal"/>
      <w:lvlText w:val="%3-"/>
      <w:lvlJc w:val="left"/>
      <w:pPr>
        <w:ind w:left="822" w:hanging="348"/>
      </w:pPr>
      <w:rPr>
        <w:color w:val="212121"/>
        <w:sz w:val="24"/>
        <w:spacing w:val="0"/>
        <w:szCs w:val="24"/>
        <w:w w:val="99"/>
      </w:rPr>
    </w:lvl>
    <w:lvl w:ilvl="3">
      <w:start w:val="0"/>
      <w:numFmt w:val="bullet"/>
      <w:lvlText w:val=""/>
      <w:lvlJc w:val="left"/>
      <w:pPr>
        <w:ind w:left="2576" w:hanging="34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ind w:left="3455" w:hanging="34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ind w:left="4333" w:hanging="34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ind w:left="5212" w:hanging="34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ind w:left="6090" w:hanging="34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ind w:left="6969" w:hanging="348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DejaVu Sans;Arial"/>
      <w:color w:val="00000A"/>
      <w:sz w:val="22"/>
      <w:szCs w:val="22"/>
      <w:lang w:val="es-ES" w:eastAsia="zh-CN" w:bidi="ar-SA"/>
    </w:rPr>
  </w:style>
  <w:style w:type="paragraph" w:styleId="Encabezado1">
    <w:name w:val="Encabezado 1"/>
    <w:basedOn w:val="Normal"/>
    <w:pPr>
      <w:spacing w:before="1" w:after="0"/>
      <w:ind w:left="102" w:right="0" w:hanging="0"/>
      <w:outlineLvl w:val="0"/>
    </w:pPr>
    <w:rPr>
      <w:rFonts w:ascii="Arial" w:hAnsi="Arial" w:eastAsia="Arial" w:cs="Arial"/>
      <w:b/>
      <w:bCs/>
      <w:sz w:val="24"/>
      <w:szCs w:val="24"/>
      <w:lang w:val="es-ES" w:eastAsia="es-ES" w:bidi="es-ES"/>
    </w:rPr>
  </w:style>
  <w:style w:type="paragraph" w:styleId="Encabezado2">
    <w:name w:val="Encabezado 2"/>
    <w:basedOn w:val="Normal"/>
    <w:pPr>
      <w:spacing w:lineRule="auto" w:line="240" w:before="280" w:after="280"/>
      <w:ind w:left="0" w:right="0" w:hanging="0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WW8Num2z0">
    <w:name w:val="WW8Num2z0"/>
    <w:rPr>
      <w:lang w:val="es-ES" w:eastAsia="es-ES" w:bidi="es-ES"/>
    </w:rPr>
  </w:style>
  <w:style w:type="character" w:styleId="WW8Num2z1">
    <w:name w:val="WW8Num2z1"/>
    <w:rPr>
      <w:rFonts w:eastAsia="Arial" w:cs="Arial"/>
      <w:color w:val="212121"/>
      <w:w w:val="99"/>
      <w:sz w:val="24"/>
      <w:szCs w:val="24"/>
      <w:lang w:val="es-ES" w:eastAsia="es-ES" w:bidi="es-ES"/>
    </w:rPr>
  </w:style>
  <w:style w:type="character" w:styleId="WW8Num2z2">
    <w:name w:val="WW8Num2z2"/>
    <w:rPr>
      <w:rFonts w:ascii="Calibri" w:hAnsi="Calibri" w:eastAsia="Arial" w:cs="Arial"/>
      <w:color w:val="212121"/>
      <w:spacing w:val="0"/>
      <w:w w:val="99"/>
      <w:sz w:val="24"/>
      <w:szCs w:val="24"/>
      <w:lang w:val="es-ES" w:eastAsia="es-ES" w:bidi="es-ES"/>
    </w:rPr>
  </w:style>
  <w:style w:type="character" w:styleId="WW8Num2z3">
    <w:name w:val="WW8Num2z3"/>
    <w:rPr>
      <w:rFonts w:ascii="Symbol" w:hAnsi="Symbol" w:cs="Symbol"/>
      <w:lang w:val="es-ES" w:eastAsia="es-ES" w:bidi="es-ES"/>
    </w:rPr>
  </w:style>
  <w:style w:type="character" w:styleId="Fuentedeprrafopredeter">
    <w:name w:val="Fuente de párrafo predeter."/>
    <w:rPr/>
  </w:style>
  <w:style w:type="character" w:styleId="Ttulo2Car">
    <w:name w:val="Título 2 Car"/>
    <w:basedOn w:val="Fuentedeprrafopredeter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InternetLink">
    <w:name w:val="Internet Link"/>
    <w:basedOn w:val="Fuentedeprrafopredeter"/>
    <w:rPr>
      <w:color w:val="0000FF"/>
      <w:u w:val="single"/>
    </w:rPr>
  </w:style>
  <w:style w:type="character" w:styleId="Muydestacado">
    <w:name w:val="Muy destacado"/>
    <w:basedOn w:val="Fuentedeprrafopredeter"/>
    <w:rPr>
      <w:b/>
      <w:bCs/>
    </w:rPr>
  </w:style>
  <w:style w:type="character" w:styleId="5yl5">
    <w:name w:val="_5yl5"/>
    <w:basedOn w:val="Fuentedeprrafopredeter"/>
    <w:rPr/>
  </w:style>
  <w:style w:type="character" w:styleId="EncabezadoCar">
    <w:name w:val="Encabezado Car"/>
    <w:basedOn w:val="Fuentedeprrafopredeter"/>
    <w:rPr>
      <w:rFonts w:cs="Times New Roman"/>
    </w:rPr>
  </w:style>
  <w:style w:type="character" w:styleId="ListLabel1">
    <w:name w:val="ListLabel 1"/>
    <w:rPr>
      <w:lang w:val="es-ES" w:eastAsia="es-ES" w:bidi="es-ES"/>
    </w:rPr>
  </w:style>
  <w:style w:type="character" w:styleId="ListLabel2">
    <w:name w:val="ListLabel 2"/>
    <w:rPr>
      <w:rFonts w:eastAsia="Arial" w:cs="Arial"/>
      <w:color w:val="212121"/>
      <w:w w:val="99"/>
      <w:sz w:val="24"/>
      <w:szCs w:val="24"/>
      <w:lang w:val="es-ES" w:eastAsia="es-ES" w:bidi="es-ES"/>
    </w:rPr>
  </w:style>
  <w:style w:type="character" w:styleId="ListLabel3">
    <w:name w:val="ListLabel 3"/>
    <w:rPr>
      <w:rFonts w:eastAsia="Arial" w:cs="Arial"/>
      <w:color w:val="212121"/>
      <w:spacing w:val="0"/>
      <w:w w:val="99"/>
      <w:sz w:val="24"/>
      <w:szCs w:val="24"/>
      <w:lang w:val="es-ES" w:eastAsia="es-ES" w:bidi="es-ES"/>
    </w:rPr>
  </w:style>
  <w:style w:type="character" w:styleId="ListLabel4">
    <w:name w:val="ListLabel 4"/>
    <w:rPr>
      <w:lang w:val="es-ES" w:eastAsia="es-ES" w:bidi="es-ES"/>
    </w:rPr>
  </w:style>
  <w:style w:type="character" w:styleId="ListLabel5">
    <w:name w:val="ListLabel 5"/>
    <w:rPr>
      <w:color w:val="212121"/>
      <w:w w:val="99"/>
      <w:sz w:val="24"/>
      <w:szCs w:val="24"/>
    </w:rPr>
  </w:style>
  <w:style w:type="character" w:styleId="ListLabel6">
    <w:name w:val="ListLabel 6"/>
    <w:rPr>
      <w:color w:val="212121"/>
      <w:spacing w:val="0"/>
      <w:w w:val="99"/>
      <w:sz w:val="24"/>
      <w:szCs w:val="24"/>
    </w:rPr>
  </w:style>
  <w:style w:type="character" w:styleId="ListLabel7">
    <w:name w:val="ListLabel 7"/>
    <w:rPr>
      <w:rFonts w:cs="Symbol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DejaVu Sans;Arial" w:hAnsi="DejaVu Sans;Arial" w:eastAsia="DejaVu Sans;Arial" w:cs="DejaVu Sans;Ari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</w:pPr>
    <w:rPr>
      <w:rFonts w:cs="FreeSans" w:ascii="Liberation Serif" w:hAnsi="Liberation Serif" w:eastAsia="Droid Sans Fallback"/>
      <w:color w:val="auto"/>
      <w:sz w:val="24"/>
      <w:szCs w:val="24"/>
      <w:lang w:val="es-ES" w:eastAsia="zh-CN" w:bidi="hi-IN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Encabezamiento">
    <w:name w:val="Encabezamiento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>
      <w:rFonts w:cs="Times New Roman"/>
    </w:rPr>
  </w:style>
  <w:style w:type="paragraph" w:styleId="ListParagraph">
    <w:name w:val="List Paragraph"/>
    <w:basedOn w:val="Normal"/>
    <w:pPr>
      <w:ind w:left="822" w:right="115" w:hanging="360"/>
      <w:jc w:val="both"/>
    </w:pPr>
    <w:rPr>
      <w:rFonts w:ascii="Arial" w:hAnsi="Arial" w:eastAsia="Arial" w:cs="Arial"/>
      <w:lang w:val="es-ES" w:eastAsia="es-ES" w:bidi="es-ES"/>
    </w:rPr>
  </w:style>
  <w:style w:type="paragraph" w:styleId="Piedepgina">
    <w:name w:val="Pie de página"/>
    <w:basedOn w:val="Normal"/>
    <w:pPr/>
    <w:rPr/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2015-11-10T09:30:00Z</dcterms:created>
  <dc:creator>Administrador</dc:creator>
  <dc:language>es-ES</dc:language>
  <cp:lastPrinted>2016-05-09T14:18:00Z</cp:lastPrinted>
  <dcterms:modified xsi:type="dcterms:W3CDTF">2017-11-06T20:18:23Z</dcterms:modified>
  <cp:revision>5</cp:revision>
</cp:coreProperties>
</file>